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8E378" w14:textId="77777777" w:rsidR="00517CD2" w:rsidRDefault="000C0CF5" w:rsidP="0076011F">
      <w:pPr>
        <w:spacing w:line="240" w:lineRule="atLeast"/>
        <w:jc w:val="center"/>
        <w:rPr>
          <w:rFonts w:ascii="Arial Narrow" w:hAnsi="Arial Narrow"/>
          <w:b/>
          <w:noProof/>
          <w:sz w:val="24"/>
          <w:szCs w:val="24"/>
          <w:lang w:val="tr-TR"/>
        </w:rPr>
      </w:pPr>
      <w:bookmarkStart w:id="0" w:name="_GoBack"/>
      <w:bookmarkEnd w:id="0"/>
      <w:r w:rsidRPr="00AE37EE">
        <w:rPr>
          <w:rFonts w:ascii="Arial Narrow" w:hAnsi="Arial Narrow"/>
          <w:b/>
          <w:noProof/>
          <w:sz w:val="24"/>
          <w:szCs w:val="24"/>
          <w:lang w:val="tr-TR"/>
        </w:rPr>
        <w:t xml:space="preserve">YURT DIŞINDA YERLEŞİK VATANDAŞLAR MEVDUAT VE KATILIM SİSTEMİ (YUVAM) </w:t>
      </w:r>
    </w:p>
    <w:p w14:paraId="7BD7B0F5" w14:textId="5E41020F" w:rsidR="0076011F" w:rsidRPr="00AE37EE" w:rsidRDefault="000C0CF5" w:rsidP="0076011F">
      <w:pPr>
        <w:spacing w:line="240" w:lineRule="atLeast"/>
        <w:jc w:val="center"/>
        <w:rPr>
          <w:rFonts w:ascii="Arial Narrow" w:hAnsi="Arial Narrow"/>
          <w:b/>
          <w:noProof/>
          <w:sz w:val="24"/>
          <w:szCs w:val="24"/>
          <w:lang w:val="tr-TR"/>
        </w:rPr>
      </w:pPr>
      <w:r w:rsidRPr="00AE37EE">
        <w:rPr>
          <w:rFonts w:ascii="Arial Narrow" w:hAnsi="Arial Narrow"/>
          <w:b/>
          <w:noProof/>
          <w:sz w:val="24"/>
          <w:szCs w:val="24"/>
          <w:lang w:val="tr-TR"/>
        </w:rPr>
        <w:t xml:space="preserve">TÜRK LİRASI VADELİ MEVDUAT HESABI </w:t>
      </w:r>
      <w:r w:rsidR="0076011F" w:rsidRPr="00AE37EE">
        <w:rPr>
          <w:rFonts w:ascii="Arial Narrow" w:hAnsi="Arial Narrow"/>
          <w:b/>
          <w:noProof/>
          <w:sz w:val="24"/>
          <w:szCs w:val="24"/>
          <w:lang w:val="tr-TR"/>
        </w:rPr>
        <w:t>SÖZLEŞME ÖNCESİ RİSK BİLGİLENDİRME FORMU (“Form”)</w:t>
      </w:r>
    </w:p>
    <w:p w14:paraId="1CACB3A6" w14:textId="77777777" w:rsidR="0076011F" w:rsidRPr="00AE37EE" w:rsidRDefault="0076011F" w:rsidP="0076011F">
      <w:pPr>
        <w:spacing w:line="240" w:lineRule="atLeast"/>
        <w:jc w:val="center"/>
        <w:rPr>
          <w:rFonts w:ascii="Arial Narrow" w:hAnsi="Arial Narrow"/>
          <w:noProof/>
          <w:sz w:val="22"/>
          <w:szCs w:val="22"/>
          <w:lang w:val="tr-TR"/>
        </w:rPr>
      </w:pPr>
    </w:p>
    <w:p w14:paraId="28749889" w14:textId="6D4A9658" w:rsidR="0076011F" w:rsidRPr="00AE37EE" w:rsidRDefault="0076011F" w:rsidP="0076011F">
      <w:pPr>
        <w:pStyle w:val="ListParagraph"/>
        <w:autoSpaceDE w:val="0"/>
        <w:autoSpaceDN w:val="0"/>
        <w:adjustRightInd w:val="0"/>
        <w:ind w:left="0"/>
        <w:jc w:val="both"/>
        <w:rPr>
          <w:rFonts w:ascii="Arial Narrow" w:hAnsi="Arial Narrow" w:cs="Arial"/>
          <w:noProof/>
          <w:sz w:val="24"/>
          <w:szCs w:val="24"/>
          <w:lang w:val="tr-TR"/>
        </w:rPr>
      </w:pPr>
      <w:r w:rsidRPr="00AE37EE">
        <w:rPr>
          <w:rFonts w:ascii="Arial Narrow" w:hAnsi="Arial Narrow" w:cs="Arial"/>
          <w:noProof/>
          <w:sz w:val="24"/>
          <w:szCs w:val="24"/>
          <w:lang w:val="tr-TR"/>
        </w:rPr>
        <w:t>Form’da</w:t>
      </w:r>
      <w:r w:rsidRPr="00AE37EE">
        <w:rPr>
          <w:rFonts w:ascii="Arial Narrow" w:hAnsi="Arial Narrow" w:cs="Arial"/>
          <w:b/>
          <w:noProof/>
          <w:sz w:val="24"/>
          <w:szCs w:val="24"/>
          <w:lang w:val="tr-TR"/>
        </w:rPr>
        <w:t xml:space="preserve"> </w:t>
      </w:r>
      <w:r w:rsidRPr="00AE37EE">
        <w:rPr>
          <w:rFonts w:ascii="Arial Narrow" w:hAnsi="Arial Narrow" w:cs="Arial"/>
          <w:noProof/>
          <w:sz w:val="24"/>
          <w:szCs w:val="24"/>
          <w:lang w:val="tr-TR"/>
        </w:rPr>
        <w:t xml:space="preserve">Bankamıza başvurduğunuz </w:t>
      </w:r>
      <w:r w:rsidR="00523D4E" w:rsidRPr="00AE37EE">
        <w:rPr>
          <w:rFonts w:ascii="Arial Narrow" w:hAnsi="Arial Narrow" w:cs="Arial"/>
          <w:noProof/>
          <w:sz w:val="24"/>
          <w:szCs w:val="24"/>
          <w:lang w:val="tr-TR"/>
        </w:rPr>
        <w:t xml:space="preserve">Yuvam </w:t>
      </w:r>
      <w:r w:rsidRPr="00AE37EE">
        <w:rPr>
          <w:rFonts w:ascii="Arial Narrow" w:hAnsi="Arial Narrow"/>
          <w:noProof/>
          <w:sz w:val="24"/>
          <w:szCs w:val="24"/>
          <w:lang w:val="tr-TR"/>
        </w:rPr>
        <w:t xml:space="preserve">Türk Lirası (“TL”) Vadeli Mevduat Hesabı (“Hesap”)’na ilişkin temel özellikler </w:t>
      </w:r>
      <w:r w:rsidRPr="00AE37EE">
        <w:rPr>
          <w:rFonts w:ascii="Arial Narrow" w:hAnsi="Arial Narrow" w:cs="Arial"/>
          <w:noProof/>
          <w:sz w:val="24"/>
          <w:szCs w:val="24"/>
          <w:lang w:val="tr-TR"/>
        </w:rPr>
        <w:t xml:space="preserve">yer almaktadır. Bu </w:t>
      </w:r>
      <w:r w:rsidRPr="00AE37EE">
        <w:rPr>
          <w:rFonts w:ascii="Arial Narrow" w:hAnsi="Arial Narrow"/>
          <w:noProof/>
          <w:sz w:val="24"/>
          <w:szCs w:val="24"/>
          <w:lang w:val="tr-TR"/>
        </w:rPr>
        <w:t xml:space="preserve">Form’un ekinde </w:t>
      </w:r>
      <w:r w:rsidR="00523D4E" w:rsidRPr="00AE37EE">
        <w:rPr>
          <w:rFonts w:ascii="Arial Narrow" w:hAnsi="Arial Narrow"/>
          <w:noProof/>
          <w:sz w:val="24"/>
          <w:szCs w:val="24"/>
          <w:lang w:val="tr-TR"/>
        </w:rPr>
        <w:t>Yuvam</w:t>
      </w:r>
      <w:r w:rsidRPr="00AE37EE">
        <w:rPr>
          <w:rFonts w:ascii="Arial Narrow" w:hAnsi="Arial Narrow"/>
          <w:noProof/>
          <w:sz w:val="24"/>
          <w:szCs w:val="24"/>
          <w:lang w:val="tr-TR"/>
        </w:rPr>
        <w:t xml:space="preserve"> Türk Lirası Vadeli Mevduat Hesabı Ek Sözleşmesi (“Sözleşme”)’nin bir örneği </w:t>
      </w:r>
      <w:r w:rsidRPr="00AE37EE">
        <w:rPr>
          <w:rFonts w:ascii="Arial Narrow" w:hAnsi="Arial Narrow" w:cs="Arial"/>
          <w:noProof/>
          <w:sz w:val="24"/>
          <w:szCs w:val="24"/>
          <w:lang w:val="tr-TR"/>
        </w:rPr>
        <w:t xml:space="preserve">Bankamızca (“Banka”) tarafınıza sunulmuştur. Form’da kullanılan terimlerin tanımları Sözleşme’de yer almaktadır. </w:t>
      </w:r>
      <w:r w:rsidRPr="00AE37EE">
        <w:rPr>
          <w:rFonts w:ascii="Arial Narrow" w:eastAsiaTheme="minorHAnsi" w:hAnsi="Arial Narrow" w:cs="Arial"/>
          <w:b/>
          <w:bCs/>
          <w:noProof/>
          <w:sz w:val="24"/>
          <w:szCs w:val="24"/>
          <w:lang w:val="tr-TR"/>
        </w:rPr>
        <w:t>Bu Form, Sözleşme’nin eki ve ayrılmaz bir parçası olup, bu Form’da yer alan hususlar dışında her türlü detaylı bilgi Sözleşme’ de yer almaktadır.</w:t>
      </w:r>
      <w:r w:rsidRPr="00AE37EE">
        <w:rPr>
          <w:rFonts w:ascii="Arial Narrow" w:hAnsi="Arial Narrow" w:cs="Arial"/>
          <w:noProof/>
          <w:sz w:val="24"/>
          <w:szCs w:val="24"/>
          <w:lang w:val="tr-TR"/>
        </w:rPr>
        <w:t xml:space="preserve"> Bu Sözleşme ve Form’da yer alan hususları </w:t>
      </w:r>
      <w:r w:rsidRPr="00AE37EE">
        <w:rPr>
          <w:rFonts w:ascii="Arial Narrow" w:hAnsi="Arial Narrow" w:cs="Arial"/>
          <w:b/>
          <w:noProof/>
          <w:sz w:val="24"/>
          <w:szCs w:val="24"/>
          <w:u w:val="single"/>
          <w:lang w:val="tr-TR"/>
        </w:rPr>
        <w:t>dikkatlice okuyarak inceleyiniz</w:t>
      </w:r>
      <w:r w:rsidRPr="00AE37EE">
        <w:rPr>
          <w:rFonts w:ascii="Arial Narrow" w:hAnsi="Arial Narrow" w:cs="Arial"/>
          <w:b/>
          <w:noProof/>
          <w:sz w:val="24"/>
          <w:szCs w:val="24"/>
          <w:lang w:val="tr-TR"/>
        </w:rPr>
        <w:t>.</w:t>
      </w:r>
      <w:r w:rsidRPr="00AE37EE">
        <w:rPr>
          <w:rFonts w:ascii="Arial Narrow" w:hAnsi="Arial Narrow" w:cs="Arial"/>
          <w:noProof/>
          <w:sz w:val="24"/>
          <w:szCs w:val="24"/>
          <w:lang w:val="tr-TR"/>
        </w:rPr>
        <w:t xml:space="preserve"> </w:t>
      </w:r>
    </w:p>
    <w:p w14:paraId="1C0C8036" w14:textId="77777777" w:rsidR="0076011F" w:rsidRPr="00AE37EE" w:rsidRDefault="0076011F" w:rsidP="0076011F">
      <w:pPr>
        <w:spacing w:line="240" w:lineRule="atLeast"/>
        <w:jc w:val="both"/>
        <w:rPr>
          <w:rFonts w:ascii="Arial Narrow" w:hAnsi="Arial Narrow"/>
          <w:noProof/>
          <w:sz w:val="24"/>
          <w:szCs w:val="24"/>
          <w:lang w:val="tr-TR"/>
        </w:rPr>
      </w:pPr>
    </w:p>
    <w:p w14:paraId="269F5330" w14:textId="77777777" w:rsidR="0076011F" w:rsidRPr="00AE37EE" w:rsidRDefault="0076011F" w:rsidP="0076011F">
      <w:pPr>
        <w:ind w:firstLine="708"/>
        <w:jc w:val="both"/>
        <w:rPr>
          <w:rFonts w:ascii="Arial Narrow" w:hAnsi="Arial Narrow" w:cs="Arial"/>
          <w:b/>
          <w:noProof/>
          <w:sz w:val="24"/>
          <w:szCs w:val="24"/>
          <w:lang w:val="tr-TR"/>
        </w:rPr>
      </w:pPr>
      <w:r w:rsidRPr="00AE37EE">
        <w:rPr>
          <w:rFonts w:ascii="Arial Narrow" w:hAnsi="Arial Narrow" w:cs="Arial"/>
          <w:b/>
          <w:noProof/>
          <w:sz w:val="24"/>
          <w:szCs w:val="24"/>
          <w:lang w:val="tr-TR"/>
        </w:rPr>
        <w:t>Hesabın Temel Özelliklerine İlişkin Bilgiler:</w:t>
      </w:r>
    </w:p>
    <w:p w14:paraId="49471B6C" w14:textId="166D3060" w:rsidR="0076011F" w:rsidRPr="00AE37EE" w:rsidRDefault="0076011F" w:rsidP="000C0CF5">
      <w:pPr>
        <w:pStyle w:val="ListParagraph"/>
        <w:numPr>
          <w:ilvl w:val="0"/>
          <w:numId w:val="1"/>
        </w:numPr>
        <w:jc w:val="both"/>
        <w:rPr>
          <w:rFonts w:ascii="Arial Narrow" w:hAnsi="Arial Narrow" w:cs="Arial"/>
          <w:noProof/>
          <w:sz w:val="24"/>
          <w:szCs w:val="24"/>
          <w:lang w:val="tr-TR"/>
        </w:rPr>
      </w:pPr>
      <w:r w:rsidRPr="00AE37EE">
        <w:rPr>
          <w:rFonts w:ascii="Arial Narrow" w:hAnsi="Arial Narrow" w:cs="Arial"/>
          <w:b/>
          <w:noProof/>
          <w:sz w:val="24"/>
          <w:szCs w:val="24"/>
          <w:lang w:val="tr-TR"/>
        </w:rPr>
        <w:t xml:space="preserve">Tebliğ kapsamındaki </w:t>
      </w:r>
      <w:r w:rsidR="00980658" w:rsidRPr="00AE37EE">
        <w:rPr>
          <w:rFonts w:ascii="Arial Narrow" w:hAnsi="Arial Narrow" w:cs="Arial"/>
          <w:noProof/>
          <w:sz w:val="24"/>
          <w:szCs w:val="24"/>
          <w:lang w:val="tr-TR"/>
        </w:rPr>
        <w:t xml:space="preserve">yurt dışında yerleşik kişiler ile bu kişilerin sermayedar olduğu, yabancı bir ülkede o ülkenin kanunlarına göre kurulan ve yasal yerleşim yeri yurt dışında olan, </w:t>
      </w:r>
      <w:r w:rsidR="00D91C43" w:rsidRPr="00AE37EE">
        <w:rPr>
          <w:rFonts w:ascii="Arial Narrow" w:hAnsi="Arial Narrow" w:cs="Arial"/>
          <w:noProof/>
          <w:sz w:val="24"/>
          <w:szCs w:val="24"/>
          <w:lang w:val="tr-TR"/>
        </w:rPr>
        <w:t xml:space="preserve">Türkiye Cumhuriyet </w:t>
      </w:r>
      <w:r w:rsidR="00980658" w:rsidRPr="00AE37EE">
        <w:rPr>
          <w:rFonts w:ascii="Arial Narrow" w:hAnsi="Arial Narrow" w:cs="Arial"/>
          <w:noProof/>
          <w:sz w:val="24"/>
          <w:szCs w:val="24"/>
          <w:lang w:val="tr-TR"/>
        </w:rPr>
        <w:t>Merkez Bankası</w:t>
      </w:r>
      <w:r w:rsidR="00AF05FA" w:rsidRPr="00AE37EE">
        <w:rPr>
          <w:rFonts w:ascii="Arial Narrow" w:hAnsi="Arial Narrow" w:cs="Arial"/>
          <w:noProof/>
          <w:sz w:val="24"/>
          <w:szCs w:val="24"/>
          <w:lang w:val="tr-TR"/>
        </w:rPr>
        <w:t xml:space="preserve"> (“TCMB”)</w:t>
      </w:r>
      <w:r w:rsidR="00D91C43" w:rsidRPr="00AE37EE">
        <w:rPr>
          <w:rFonts w:ascii="Arial Narrow" w:hAnsi="Arial Narrow" w:cs="Arial"/>
          <w:noProof/>
          <w:sz w:val="24"/>
          <w:szCs w:val="24"/>
          <w:lang w:val="tr-TR"/>
        </w:rPr>
        <w:t xml:space="preserve"> tarafından </w:t>
      </w:r>
      <w:r w:rsidR="00980658" w:rsidRPr="00AE37EE">
        <w:rPr>
          <w:rFonts w:ascii="Arial Narrow" w:hAnsi="Arial Narrow" w:cs="Arial"/>
          <w:noProof/>
          <w:sz w:val="24"/>
          <w:szCs w:val="24"/>
          <w:lang w:val="tr-TR"/>
        </w:rPr>
        <w:t xml:space="preserve"> belirlenen mali kuruluşlar ile bankalar dışındaki şirketlerin bankalardaki döviz tevdiat hesapları nın Türk </w:t>
      </w:r>
      <w:r w:rsidR="00E8523A" w:rsidRPr="00AE37EE">
        <w:rPr>
          <w:rFonts w:ascii="Arial Narrow" w:hAnsi="Arial Narrow" w:cs="Arial"/>
          <w:noProof/>
          <w:sz w:val="24"/>
          <w:szCs w:val="24"/>
          <w:lang w:val="tr-TR"/>
        </w:rPr>
        <w:t>L</w:t>
      </w:r>
      <w:r w:rsidR="00980658" w:rsidRPr="00AE37EE">
        <w:rPr>
          <w:rFonts w:ascii="Arial Narrow" w:hAnsi="Arial Narrow" w:cs="Arial"/>
          <w:noProof/>
          <w:sz w:val="24"/>
          <w:szCs w:val="24"/>
          <w:lang w:val="tr-TR"/>
        </w:rPr>
        <w:t xml:space="preserve">irası cinsinden </w:t>
      </w:r>
      <w:r w:rsidR="00D91C43" w:rsidRPr="00AE37EE">
        <w:rPr>
          <w:rFonts w:ascii="Arial Narrow" w:hAnsi="Arial Narrow" w:cs="Arial"/>
          <w:noProof/>
          <w:sz w:val="24"/>
          <w:szCs w:val="24"/>
          <w:lang w:val="tr-TR"/>
        </w:rPr>
        <w:t xml:space="preserve">Yurt Dışında Yerleşik Vatandaşlar Mevduat Vv Katılım Sistemi </w:t>
      </w:r>
      <w:r w:rsidR="00980658" w:rsidRPr="00AE37EE">
        <w:rPr>
          <w:rFonts w:ascii="Arial Narrow" w:hAnsi="Arial Narrow" w:cs="Arial"/>
          <w:noProof/>
          <w:sz w:val="24"/>
          <w:szCs w:val="24"/>
          <w:lang w:val="tr-TR"/>
        </w:rPr>
        <w:t>(YUVAM) hesaplarına dönüştürülmesi ile</w:t>
      </w:r>
      <w:r w:rsidR="000C0CF5" w:rsidRPr="00AE37EE">
        <w:rPr>
          <w:rFonts w:ascii="Arial Narrow" w:hAnsi="Arial Narrow" w:cs="Arial"/>
          <w:b/>
          <w:noProof/>
          <w:sz w:val="24"/>
          <w:szCs w:val="24"/>
          <w:lang w:val="tr-TR"/>
        </w:rPr>
        <w:t xml:space="preserve"> </w:t>
      </w:r>
      <w:r w:rsidR="00523D4E" w:rsidRPr="00AE37EE">
        <w:rPr>
          <w:rFonts w:ascii="Arial Narrow" w:hAnsi="Arial Narrow" w:cs="Arial"/>
          <w:b/>
          <w:noProof/>
          <w:sz w:val="24"/>
          <w:szCs w:val="24"/>
          <w:lang w:val="tr-TR"/>
        </w:rPr>
        <w:t>3 ay, 6 ay, 12 ay ,24 ay veya yıllık faiz ödemeli 24 aylık</w:t>
      </w:r>
      <w:r w:rsidR="000C0CF5" w:rsidRPr="00AE37EE">
        <w:rPr>
          <w:rFonts w:ascii="Arial Narrow" w:hAnsi="Arial Narrow" w:cs="Arial"/>
          <w:b/>
          <w:noProof/>
          <w:sz w:val="24"/>
          <w:szCs w:val="24"/>
          <w:lang w:val="tr-TR"/>
        </w:rPr>
        <w:t xml:space="preserve"> </w:t>
      </w:r>
      <w:r w:rsidRPr="00AE37EE">
        <w:rPr>
          <w:rFonts w:ascii="Arial Narrow" w:hAnsi="Arial Narrow" w:cs="Arial"/>
          <w:b/>
          <w:noProof/>
          <w:sz w:val="24"/>
          <w:szCs w:val="24"/>
          <w:lang w:val="tr-TR"/>
        </w:rPr>
        <w:t>vadeler</w:t>
      </w:r>
      <w:r w:rsidR="00560A46" w:rsidRPr="00AE37EE">
        <w:rPr>
          <w:rFonts w:ascii="Arial Narrow" w:hAnsi="Arial Narrow" w:cs="Arial"/>
          <w:b/>
          <w:noProof/>
          <w:sz w:val="24"/>
          <w:szCs w:val="24"/>
          <w:lang w:val="tr-TR"/>
        </w:rPr>
        <w:t xml:space="preserve"> üzerinden </w:t>
      </w:r>
      <w:r w:rsidRPr="00AE37EE">
        <w:rPr>
          <w:rFonts w:ascii="Arial Narrow" w:hAnsi="Arial Narrow" w:cs="Arial"/>
          <w:b/>
          <w:noProof/>
          <w:sz w:val="24"/>
          <w:szCs w:val="24"/>
          <w:lang w:val="tr-TR"/>
        </w:rPr>
        <w:t xml:space="preserve"> faydalanabileceği Hesap TL olarak açılabilecektir.</w:t>
      </w:r>
      <w:r w:rsidRPr="00AE37EE">
        <w:rPr>
          <w:rFonts w:ascii="Arial Narrow" w:hAnsi="Arial Narrow" w:cs="Arial"/>
          <w:noProof/>
          <w:sz w:val="24"/>
          <w:szCs w:val="24"/>
          <w:lang w:val="tr-TR"/>
        </w:rPr>
        <w:t xml:space="preserve"> Vade sonunun tatil gününe denk gelmesi halinde vade sonu ilk iş günü olarak belirlenecektir.</w:t>
      </w:r>
    </w:p>
    <w:p w14:paraId="72EE48F7" w14:textId="3F40F6FB" w:rsidR="0076011F" w:rsidRPr="00517CD2" w:rsidRDefault="0076011F" w:rsidP="008258FD">
      <w:pPr>
        <w:pStyle w:val="ListParagraph"/>
        <w:numPr>
          <w:ilvl w:val="0"/>
          <w:numId w:val="1"/>
        </w:numPr>
        <w:jc w:val="both"/>
        <w:rPr>
          <w:rFonts w:ascii="Arial Narrow" w:hAnsi="Arial Narrow" w:cs="Arial"/>
          <w:noProof/>
          <w:sz w:val="24"/>
          <w:szCs w:val="24"/>
          <w:lang w:val="tr-TR"/>
        </w:rPr>
      </w:pPr>
      <w:r w:rsidRPr="00517CD2">
        <w:rPr>
          <w:rFonts w:ascii="Arial Narrow" w:hAnsi="Arial Narrow" w:cs="Arial"/>
          <w:noProof/>
          <w:sz w:val="24"/>
          <w:szCs w:val="24"/>
          <w:lang w:val="tr-TR"/>
        </w:rPr>
        <w:t>Müşteri’nin</w:t>
      </w:r>
      <w:r w:rsidR="00523D4E" w:rsidRPr="00517CD2">
        <w:rPr>
          <w:rFonts w:ascii="Arial Narrow" w:hAnsi="Arial Narrow" w:cs="Arial"/>
          <w:noProof/>
          <w:sz w:val="24"/>
          <w:szCs w:val="24"/>
          <w:lang w:val="tr-TR"/>
        </w:rPr>
        <w:t xml:space="preserve"> </w:t>
      </w:r>
      <w:r w:rsidRPr="00517CD2">
        <w:rPr>
          <w:rFonts w:ascii="Arial Narrow" w:hAnsi="Arial Narrow" w:cs="Arial"/>
          <w:noProof/>
          <w:sz w:val="24"/>
          <w:szCs w:val="24"/>
          <w:lang w:val="tr-TR"/>
        </w:rPr>
        <w:t>Tebliğ kapsamına giren döviz tevdiat hesabı, hesabın açıldığı tarihteki</w:t>
      </w:r>
      <w:r w:rsidR="00560A46" w:rsidRPr="00517CD2">
        <w:rPr>
          <w:rFonts w:ascii="Arial Narrow" w:hAnsi="Arial Narrow" w:cs="Arial"/>
          <w:noProof/>
          <w:sz w:val="24"/>
          <w:szCs w:val="24"/>
          <w:lang w:val="tr-TR"/>
        </w:rPr>
        <w:t xml:space="preserve"> TCMB tarafından ilgili usul ve esaslara göre belirlenen</w:t>
      </w:r>
      <w:r w:rsidRPr="00517CD2">
        <w:rPr>
          <w:rFonts w:ascii="Arial Narrow" w:hAnsi="Arial Narrow" w:cs="Arial"/>
          <w:noProof/>
          <w:sz w:val="24"/>
          <w:szCs w:val="24"/>
          <w:lang w:val="tr-TR"/>
        </w:rPr>
        <w:t xml:space="preserve"> Dönüşüm Kuru üzerinden Türk Lirasına çevrilecek </w:t>
      </w:r>
      <w:r w:rsidRPr="00517CD2">
        <w:rPr>
          <w:rFonts w:ascii="Arial Narrow" w:hAnsi="Arial Narrow"/>
          <w:noProof/>
          <w:sz w:val="24"/>
          <w:szCs w:val="24"/>
          <w:lang w:val="tr-TR"/>
        </w:rPr>
        <w:t>ve ilgili tutar Hesaba aktarılacaktır</w:t>
      </w:r>
      <w:r w:rsidR="004418D3" w:rsidRPr="00517CD2">
        <w:rPr>
          <w:rFonts w:ascii="Arial Narrow" w:hAnsi="Arial Narrow" w:cs="Arial"/>
          <w:noProof/>
          <w:sz w:val="24"/>
          <w:szCs w:val="24"/>
          <w:lang w:val="tr-TR"/>
        </w:rPr>
        <w:t>.</w:t>
      </w:r>
      <w:r w:rsidRPr="00517CD2">
        <w:rPr>
          <w:rFonts w:ascii="Arial Narrow" w:hAnsi="Arial Narrow"/>
          <w:noProof/>
          <w:sz w:val="24"/>
          <w:szCs w:val="24"/>
          <w:lang w:val="tr-TR"/>
        </w:rPr>
        <w:t xml:space="preserve"> Hesap, Banka ile Müşteri’nin anlaşma sağladığı faiz oranı ve vade üzerinden açılacak</w:t>
      </w:r>
      <w:r w:rsidR="00AF05FA" w:rsidRPr="00517CD2">
        <w:rPr>
          <w:rFonts w:ascii="Arial Narrow" w:hAnsi="Arial Narrow"/>
          <w:noProof/>
          <w:sz w:val="24"/>
          <w:szCs w:val="24"/>
          <w:lang w:val="tr-TR"/>
        </w:rPr>
        <w:t xml:space="preserve"> olup; vade sonunda, dönüştürülen döviz tutarları üzerinden vade gruplarına göre belirlenen oranlar çerçevesinde ilave getiri tutarı da hesaplanacak</w:t>
      </w:r>
      <w:r w:rsidRPr="00517CD2">
        <w:rPr>
          <w:rFonts w:ascii="Arial Narrow" w:hAnsi="Arial Narrow"/>
          <w:noProof/>
          <w:sz w:val="24"/>
          <w:szCs w:val="24"/>
          <w:lang w:val="tr-TR"/>
        </w:rPr>
        <w:t xml:space="preserve">tır.Hesabın vadesi yürürlükteki yasal düzenlemelere uygun olarak tespit edilecektir. </w:t>
      </w:r>
    </w:p>
    <w:p w14:paraId="34DB66A9" w14:textId="311A2921" w:rsidR="0032278F" w:rsidRPr="00AE37EE" w:rsidRDefault="0076011F" w:rsidP="000C0CF5">
      <w:pPr>
        <w:pStyle w:val="ListParagraph"/>
        <w:numPr>
          <w:ilvl w:val="0"/>
          <w:numId w:val="1"/>
        </w:numPr>
        <w:spacing w:line="240" w:lineRule="atLeast"/>
        <w:jc w:val="both"/>
        <w:rPr>
          <w:rFonts w:ascii="Arial Narrow" w:hAnsi="Arial Narrow" w:cs="Arial"/>
          <w:noProof/>
          <w:sz w:val="24"/>
          <w:szCs w:val="24"/>
          <w:lang w:val="tr-TR"/>
        </w:rPr>
      </w:pPr>
      <w:r w:rsidRPr="00AE37EE">
        <w:rPr>
          <w:rFonts w:ascii="Arial Narrow" w:hAnsi="Arial Narrow" w:cs="Arial"/>
          <w:noProof/>
          <w:sz w:val="24"/>
          <w:szCs w:val="24"/>
          <w:lang w:val="tr-TR"/>
        </w:rPr>
        <w:t>Hesaba vade sonunda Sözleşme’de ve Talep Formu’nda yıllık olarak belirtilmiş olan faiz oranı üzerinden dönemsel faiz</w:t>
      </w:r>
      <w:r w:rsidR="00523D4E" w:rsidRPr="00AE37EE">
        <w:rPr>
          <w:rFonts w:ascii="Arial Narrow" w:hAnsi="Arial Narrow" w:cs="Arial"/>
          <w:noProof/>
          <w:sz w:val="24"/>
          <w:szCs w:val="24"/>
          <w:lang w:val="tr-TR"/>
        </w:rPr>
        <w:t xml:space="preserve"> ve vadeye bağlı</w:t>
      </w:r>
      <w:r w:rsidR="0032278F" w:rsidRPr="00AE37EE">
        <w:rPr>
          <w:rFonts w:ascii="Arial Narrow" w:hAnsi="Arial Narrow" w:cs="Arial"/>
          <w:noProof/>
          <w:sz w:val="24"/>
          <w:szCs w:val="24"/>
          <w:lang w:val="tr-TR"/>
        </w:rPr>
        <w:t xml:space="preserve"> olarak</w:t>
      </w:r>
      <w:r w:rsidR="00523D4E" w:rsidRPr="00AE37EE">
        <w:rPr>
          <w:rFonts w:ascii="Arial Narrow" w:hAnsi="Arial Narrow" w:cs="Arial"/>
          <w:noProof/>
          <w:sz w:val="24"/>
          <w:szCs w:val="24"/>
          <w:lang w:val="tr-TR"/>
        </w:rPr>
        <w:t xml:space="preserve"> </w:t>
      </w:r>
      <w:r w:rsidR="004418D3" w:rsidRPr="00AE37EE">
        <w:rPr>
          <w:rFonts w:ascii="Arial Narrow" w:hAnsi="Arial Narrow" w:cs="Arial"/>
          <w:noProof/>
          <w:sz w:val="24"/>
          <w:szCs w:val="24"/>
          <w:lang w:val="tr-TR"/>
        </w:rPr>
        <w:t xml:space="preserve">ilave </w:t>
      </w:r>
      <w:r w:rsidR="00523D4E" w:rsidRPr="00AE37EE">
        <w:rPr>
          <w:rFonts w:ascii="Arial Narrow" w:hAnsi="Arial Narrow" w:cs="Arial"/>
          <w:noProof/>
          <w:sz w:val="24"/>
          <w:szCs w:val="24"/>
          <w:lang w:val="tr-TR"/>
        </w:rPr>
        <w:t>getiri oranı</w:t>
      </w:r>
      <w:r w:rsidRPr="00AE37EE">
        <w:rPr>
          <w:rFonts w:ascii="Arial Narrow" w:hAnsi="Arial Narrow" w:cs="Arial"/>
          <w:noProof/>
          <w:sz w:val="24"/>
          <w:szCs w:val="24"/>
          <w:lang w:val="tr-TR"/>
        </w:rPr>
        <w:t xml:space="preserve"> tahakkuk edecektir.</w:t>
      </w:r>
      <w:r w:rsidR="00523D4E" w:rsidRPr="00AE37EE">
        <w:rPr>
          <w:rFonts w:ascii="Arial Narrow" w:hAnsi="Arial Narrow" w:cs="Arial"/>
          <w:noProof/>
          <w:sz w:val="24"/>
          <w:szCs w:val="24"/>
          <w:lang w:val="tr-TR"/>
        </w:rPr>
        <w:t xml:space="preserve"> </w:t>
      </w:r>
      <w:r w:rsidR="0032278F" w:rsidRPr="00AE37EE">
        <w:rPr>
          <w:rFonts w:ascii="Arial Narrow" w:hAnsi="Arial Narrow" w:cs="Arial"/>
          <w:noProof/>
          <w:sz w:val="24"/>
          <w:szCs w:val="24"/>
          <w:lang w:val="tr-TR"/>
        </w:rPr>
        <w:t xml:space="preserve">Vade sonunda hesap sahibinin döviz bazında anaparasını her koşulda koruması ve ilave getiri elde etmesi esastır. </w:t>
      </w:r>
    </w:p>
    <w:p w14:paraId="5FFE3EE7" w14:textId="4993A9F8" w:rsidR="0032278F" w:rsidRPr="00AE37EE" w:rsidRDefault="0032278F" w:rsidP="0032278F">
      <w:pPr>
        <w:pStyle w:val="ListParagraph"/>
        <w:ind w:left="1062"/>
        <w:jc w:val="both"/>
        <w:rPr>
          <w:rFonts w:ascii="Arial Narrow" w:hAnsi="Arial Narrow" w:cs="Arial"/>
          <w:noProof/>
          <w:sz w:val="24"/>
          <w:szCs w:val="24"/>
          <w:lang w:val="tr-TR"/>
        </w:rPr>
      </w:pPr>
      <w:r w:rsidRPr="00AE37EE">
        <w:rPr>
          <w:rFonts w:ascii="Arial Narrow" w:hAnsi="Arial Narrow" w:cs="Arial"/>
          <w:noProof/>
          <w:sz w:val="24"/>
          <w:szCs w:val="24"/>
          <w:lang w:val="tr-TR"/>
        </w:rPr>
        <w:t>Vade sonu kurunun dönüşüm kurundan düşük olması durumunda; Banka tarafından Müşteriye anapara , faiz ve ilave getiri  ödenir. İlave getiri tutarı öncelikle; dönüştürülen döviz tutarı ile vade gruplarına göre belirlenen ilave getiri oranı çarpılır. Hesaplanan tutarın  TCMB tarafından ilgili usul ve esaslara göre belirlenen vade sonundaki,ilgilli kur ile çarpılması sonucu ilave getiri tutarının TL karşılığına ulaşılır.</w:t>
      </w:r>
    </w:p>
    <w:p w14:paraId="5F6A9FA0" w14:textId="77777777" w:rsidR="0032278F" w:rsidRPr="00AE37EE" w:rsidRDefault="0032278F" w:rsidP="0032278F">
      <w:pPr>
        <w:spacing w:line="240" w:lineRule="atLeast"/>
        <w:ind w:firstLine="708"/>
        <w:jc w:val="both"/>
        <w:rPr>
          <w:rFonts w:ascii="Arial Narrow" w:hAnsi="Arial Narrow" w:cs="Arial"/>
          <w:noProof/>
          <w:sz w:val="24"/>
          <w:szCs w:val="24"/>
          <w:lang w:val="tr-TR"/>
        </w:rPr>
      </w:pPr>
      <w:r w:rsidRPr="00AE37EE">
        <w:rPr>
          <w:rFonts w:ascii="Arial Narrow" w:hAnsi="Arial Narrow" w:cs="Arial"/>
          <w:noProof/>
          <w:sz w:val="24"/>
          <w:szCs w:val="24"/>
          <w:lang w:val="tr-TR"/>
        </w:rPr>
        <w:t>Vade sonu kurunun dönüşüm kurundan yüksek olması durumunda;</w:t>
      </w:r>
    </w:p>
    <w:p w14:paraId="187A9DB6" w14:textId="77777777" w:rsidR="0032278F" w:rsidRPr="00AE37EE" w:rsidRDefault="0032278F" w:rsidP="00517CD2">
      <w:pPr>
        <w:spacing w:line="240" w:lineRule="atLeast"/>
        <w:ind w:left="927"/>
        <w:jc w:val="both"/>
        <w:rPr>
          <w:rFonts w:ascii="Arial Narrow" w:hAnsi="Arial Narrow" w:cs="Arial"/>
          <w:noProof/>
          <w:sz w:val="24"/>
          <w:szCs w:val="24"/>
          <w:lang w:val="tr-TR"/>
        </w:rPr>
      </w:pPr>
      <w:r w:rsidRPr="00AE37EE">
        <w:rPr>
          <w:rFonts w:ascii="Arial Narrow" w:hAnsi="Arial Narrow" w:cs="Arial"/>
          <w:noProof/>
          <w:sz w:val="24"/>
          <w:szCs w:val="24"/>
          <w:lang w:val="tr-TR"/>
        </w:rPr>
        <w:t>i) Faiz tutarı kur farkından yüksek ise, Banka tarafından hesap sahibine anapara+faiz+ilave  getiri tutarı ödenir.</w:t>
      </w:r>
    </w:p>
    <w:p w14:paraId="330107C4" w14:textId="3BBF9612" w:rsidR="0032278F" w:rsidRPr="00AE37EE" w:rsidRDefault="0032278F" w:rsidP="0032278F">
      <w:pPr>
        <w:spacing w:line="240" w:lineRule="atLeast"/>
        <w:ind w:left="927"/>
        <w:jc w:val="both"/>
        <w:rPr>
          <w:rFonts w:ascii="Arial Narrow" w:hAnsi="Arial Narrow" w:cs="Arial"/>
          <w:noProof/>
          <w:sz w:val="24"/>
          <w:szCs w:val="24"/>
          <w:lang w:val="tr-TR"/>
        </w:rPr>
      </w:pPr>
      <w:r w:rsidRPr="00AE37EE">
        <w:rPr>
          <w:rFonts w:ascii="Arial Narrow" w:hAnsi="Arial Narrow" w:cs="Arial"/>
          <w:noProof/>
          <w:sz w:val="24"/>
          <w:szCs w:val="24"/>
          <w:lang w:val="tr-TR"/>
        </w:rPr>
        <w:t xml:space="preserve">ii) Faiz tutarı kur farkından düşük ise, Banka tarafından hesap sahibine anapara + faiz + ilave getiri tutarı “kur farkı – faiz” tutarı ödenir, </w:t>
      </w:r>
    </w:p>
    <w:p w14:paraId="476E5432" w14:textId="21FF0EB2" w:rsidR="0076011F" w:rsidRPr="00AE37EE" w:rsidRDefault="0076011F" w:rsidP="000C0CF5">
      <w:pPr>
        <w:ind w:left="702"/>
        <w:jc w:val="both"/>
        <w:rPr>
          <w:rFonts w:ascii="Arial Narrow" w:hAnsi="Arial Narrow" w:cs="Arial"/>
          <w:b/>
          <w:noProof/>
          <w:sz w:val="24"/>
          <w:szCs w:val="24"/>
          <w:lang w:val="tr-TR"/>
        </w:rPr>
      </w:pPr>
      <w:r w:rsidRPr="00AE37EE">
        <w:rPr>
          <w:rFonts w:ascii="Arial Narrow" w:hAnsi="Arial Narrow" w:cs="Arial"/>
          <w:b/>
          <w:noProof/>
          <w:sz w:val="24"/>
          <w:szCs w:val="24"/>
          <w:lang w:val="tr-TR"/>
        </w:rPr>
        <w:t xml:space="preserve">HESABIN VADESİNDEN ÖNCE KAPATILMASI: </w:t>
      </w:r>
    </w:p>
    <w:p w14:paraId="432798FE" w14:textId="59F28C48" w:rsidR="00C244BB" w:rsidRPr="00AE37EE" w:rsidRDefault="00C244BB" w:rsidP="000C0CF5">
      <w:pPr>
        <w:pStyle w:val="ListParagraph"/>
        <w:autoSpaceDE w:val="0"/>
        <w:autoSpaceDN w:val="0"/>
        <w:adjustRightInd w:val="0"/>
        <w:ind w:left="1062"/>
        <w:rPr>
          <w:rFonts w:ascii="Arial Narrow" w:hAnsi="Arial Narrow"/>
          <w:noProof/>
          <w:sz w:val="24"/>
          <w:szCs w:val="24"/>
          <w:lang w:val="tr-TR"/>
        </w:rPr>
      </w:pPr>
      <w:r w:rsidRPr="00AE37EE">
        <w:rPr>
          <w:rFonts w:ascii="Arial Narrow" w:hAnsi="Arial Narrow"/>
          <w:noProof/>
          <w:sz w:val="24"/>
          <w:szCs w:val="24"/>
          <w:lang w:val="tr-TR"/>
        </w:rPr>
        <w:t>Vadeden önce çekim yapılması durumunda TCMB tarafından ilave getiri tutarı ödenmez. Çekim yapılan tarihte saat 11:00’de TCMB tarafından ilan edilen döviz alış kurunun dönüşüm kurundan yüksek olması durumunda TCMB tarafından kur farkına ilişkin ödeme yapılmaz. Saat 11:00’den önce çekim yapılması halinde bir önceki iş günü saat 11:00’de TCMB tarafından ilan edilen döviz alış kuru üzerinden işlem yapılır.</w:t>
      </w:r>
    </w:p>
    <w:p w14:paraId="61251D17" w14:textId="77777777" w:rsidR="00C244BB" w:rsidRPr="00AE37EE" w:rsidRDefault="00C244BB" w:rsidP="000C0CF5">
      <w:pPr>
        <w:pStyle w:val="ListParagraph"/>
        <w:spacing w:line="240" w:lineRule="atLeast"/>
        <w:ind w:left="1062"/>
        <w:jc w:val="both"/>
        <w:rPr>
          <w:rFonts w:ascii="Arial Narrow" w:hAnsi="Arial Narrow"/>
          <w:b/>
          <w:noProof/>
          <w:sz w:val="24"/>
          <w:szCs w:val="24"/>
          <w:lang w:val="tr-TR"/>
        </w:rPr>
      </w:pPr>
      <w:r w:rsidRPr="00AE37EE">
        <w:rPr>
          <w:rFonts w:ascii="Arial Narrow" w:hAnsi="Arial Narrow"/>
          <w:b/>
          <w:noProof/>
          <w:sz w:val="24"/>
          <w:szCs w:val="24"/>
          <w:lang w:val="tr-TR"/>
        </w:rPr>
        <w:t xml:space="preserve">Ayrıca, Hesabın vadesinden önce kapatılması durumunda Banka tarafından faiz ve ilave getiri ödenmez. </w:t>
      </w:r>
    </w:p>
    <w:p w14:paraId="2A111BF6" w14:textId="03D7B60A" w:rsidR="0076011F" w:rsidRPr="00AE37EE" w:rsidRDefault="0076011F" w:rsidP="0076011F">
      <w:pPr>
        <w:pStyle w:val="ListParagraph"/>
        <w:spacing w:line="240" w:lineRule="atLeast"/>
        <w:ind w:left="709" w:firstLine="353"/>
        <w:jc w:val="both"/>
        <w:rPr>
          <w:rFonts w:ascii="Arial Narrow" w:hAnsi="Arial Narrow"/>
          <w:b/>
          <w:noProof/>
          <w:sz w:val="24"/>
          <w:szCs w:val="24"/>
          <w:lang w:val="tr-TR"/>
        </w:rPr>
      </w:pPr>
      <w:r w:rsidRPr="00AE37EE">
        <w:rPr>
          <w:rFonts w:ascii="Arial Narrow" w:hAnsi="Arial Narrow"/>
          <w:b/>
          <w:noProof/>
          <w:sz w:val="24"/>
          <w:szCs w:val="24"/>
          <w:lang w:val="tr-TR"/>
        </w:rPr>
        <w:t>Hesap bakiyesi güncellemesi aşağıdaki koşullara göre olacaktır:</w:t>
      </w:r>
    </w:p>
    <w:p w14:paraId="056F5A41" w14:textId="011AB514" w:rsidR="004B5B4B" w:rsidRPr="00AE37EE" w:rsidRDefault="004B5B4B" w:rsidP="000C0CF5">
      <w:pPr>
        <w:pStyle w:val="ListParagraph"/>
        <w:spacing w:line="240" w:lineRule="atLeast"/>
        <w:ind w:left="709"/>
        <w:jc w:val="both"/>
        <w:rPr>
          <w:rFonts w:ascii="Arial Narrow" w:hAnsi="Arial Narrow"/>
          <w:b/>
          <w:noProof/>
          <w:sz w:val="24"/>
          <w:szCs w:val="24"/>
          <w:lang w:val="tr-TR"/>
        </w:rPr>
      </w:pPr>
      <w:r w:rsidRPr="00AE37EE">
        <w:rPr>
          <w:rFonts w:ascii="Arial Narrow" w:hAnsi="Arial Narrow"/>
          <w:b/>
          <w:noProof/>
          <w:sz w:val="24"/>
          <w:szCs w:val="24"/>
          <w:lang w:val="tr-TR"/>
        </w:rPr>
        <w:t xml:space="preserve">Çekim yapılan tarihte saat 11:00’de TCMB tarafından ilan edilen döviz alış kurunun dönüşüm kurundan düşük olması durumunda Hesabın vadeden önce kapatıldığı tarihte saat 11:00’de TCMB tarafından ilan edilen döviz alış kurundan hesap bakiyesi güncellenir. </w:t>
      </w:r>
      <w:r w:rsidRPr="00AE37EE">
        <w:rPr>
          <w:rFonts w:ascii="Arial Narrow" w:hAnsi="Arial Narrow"/>
          <w:b/>
          <w:noProof/>
          <w:sz w:val="24"/>
          <w:szCs w:val="24"/>
          <w:lang w:val="tr-TR"/>
        </w:rPr>
        <w:lastRenderedPageBreak/>
        <w:t xml:space="preserve">Saat 11:00’den önce çekim yapılması halinde bir önceki iş günü saat 11:00’de Merkez Bankasınca ilan edilen döviz alış kuru üzerinden işlem yapılır ve hesap bakiyesi söz konusu kur üzerinden güncellenir. </w:t>
      </w:r>
    </w:p>
    <w:p w14:paraId="29E239FB" w14:textId="2A560B89" w:rsidR="0076011F" w:rsidRPr="00AE37EE" w:rsidRDefault="0076011F" w:rsidP="000C0CF5">
      <w:pPr>
        <w:pStyle w:val="ListParagraph"/>
        <w:spacing w:line="240" w:lineRule="atLeast"/>
        <w:ind w:left="1062"/>
        <w:jc w:val="both"/>
        <w:rPr>
          <w:rFonts w:ascii="Arial Narrow" w:hAnsi="Arial Narrow"/>
          <w:noProof/>
          <w:sz w:val="24"/>
          <w:szCs w:val="24"/>
          <w:lang w:val="tr-TR"/>
        </w:rPr>
      </w:pPr>
      <w:r w:rsidRPr="00AE37EE">
        <w:rPr>
          <w:rFonts w:ascii="Arial Narrow" w:hAnsi="Arial Narrow" w:cs="Arial"/>
          <w:b/>
          <w:noProof/>
          <w:sz w:val="24"/>
          <w:szCs w:val="24"/>
          <w:lang w:val="tr-TR"/>
        </w:rPr>
        <w:t xml:space="preserve">BU DURUMDA HESAP AÇILIŞ TARİHİNDE HESABINIZDA BULUNAN TUTARDAN DAHA AZ BİR TUTARIN ÖDENMESİ RİSKİ İLE KARŞI KARŞIYA KALABİLİRSİNİZ. </w:t>
      </w:r>
    </w:p>
    <w:p w14:paraId="66D71923" w14:textId="77777777" w:rsidR="0076011F" w:rsidRPr="00AE37EE" w:rsidRDefault="0076011F" w:rsidP="0076011F">
      <w:pPr>
        <w:pStyle w:val="ListParagraph"/>
        <w:spacing w:line="240" w:lineRule="atLeast"/>
        <w:ind w:left="1062"/>
        <w:jc w:val="both"/>
        <w:rPr>
          <w:rFonts w:ascii="Arial Narrow" w:hAnsi="Arial Narrow"/>
          <w:b/>
          <w:noProof/>
          <w:sz w:val="24"/>
          <w:szCs w:val="24"/>
          <w:lang w:val="tr-TR"/>
        </w:rPr>
      </w:pPr>
      <w:r w:rsidRPr="00AE37EE">
        <w:rPr>
          <w:rFonts w:ascii="Arial Narrow" w:hAnsi="Arial Narrow"/>
          <w:b/>
          <w:noProof/>
          <w:sz w:val="24"/>
          <w:szCs w:val="24"/>
          <w:lang w:val="tr-TR"/>
        </w:rPr>
        <w:t xml:space="preserve"> Bu aradaki fark, Banka tarafından TCMB’nin ilgili TL hesabına aktarılır.</w:t>
      </w:r>
    </w:p>
    <w:p w14:paraId="64EC5471" w14:textId="77777777" w:rsidR="0076011F" w:rsidRPr="00AE37EE" w:rsidRDefault="0076011F" w:rsidP="0076011F">
      <w:pPr>
        <w:pStyle w:val="ListParagraph"/>
        <w:ind w:left="1062"/>
        <w:jc w:val="both"/>
        <w:rPr>
          <w:rFonts w:ascii="Arial Narrow" w:hAnsi="Arial Narrow" w:cs="Arial"/>
          <w:b/>
          <w:noProof/>
          <w:sz w:val="24"/>
          <w:szCs w:val="24"/>
          <w:lang w:val="tr-TR"/>
        </w:rPr>
      </w:pPr>
      <w:r w:rsidRPr="00AE37EE">
        <w:rPr>
          <w:rFonts w:ascii="Arial Narrow" w:hAnsi="Arial Narrow" w:cs="Arial"/>
          <w:b/>
          <w:noProof/>
          <w:sz w:val="24"/>
          <w:szCs w:val="24"/>
          <w:lang w:val="tr-TR"/>
        </w:rPr>
        <w:t xml:space="preserve">Hesabınıza ilişkin erken kapama talimatı vermeniz halinde; detayları yukarıda ve Sözleşme’de düzenlenen şekilde Hesabınız vadesinden önce  kapatılacaktır. </w:t>
      </w:r>
      <w:r w:rsidRPr="00AE37EE">
        <w:rPr>
          <w:rFonts w:ascii="Arial Narrow" w:hAnsi="Arial Narrow" w:cs="Arial"/>
          <w:b/>
          <w:noProof/>
          <w:sz w:val="24"/>
          <w:szCs w:val="24"/>
          <w:u w:val="single"/>
          <w:lang w:val="tr-TR"/>
        </w:rPr>
        <w:t>Erken kapama talimatı verilirse bir daha geri alınamaz.</w:t>
      </w:r>
      <w:r w:rsidRPr="00AE37EE">
        <w:rPr>
          <w:rFonts w:ascii="Arial Narrow" w:hAnsi="Arial Narrow" w:cs="Arial"/>
          <w:b/>
          <w:noProof/>
          <w:sz w:val="24"/>
          <w:szCs w:val="24"/>
          <w:lang w:val="tr-TR"/>
        </w:rPr>
        <w:t xml:space="preserve">  </w:t>
      </w:r>
    </w:p>
    <w:p w14:paraId="59704F23" w14:textId="77777777" w:rsidR="0076011F" w:rsidRPr="00AE37EE" w:rsidRDefault="0076011F" w:rsidP="0076011F">
      <w:pPr>
        <w:pStyle w:val="ListParagraph"/>
        <w:numPr>
          <w:ilvl w:val="0"/>
          <w:numId w:val="1"/>
        </w:numPr>
        <w:jc w:val="both"/>
        <w:rPr>
          <w:rFonts w:ascii="Arial Narrow" w:hAnsi="Arial Narrow" w:cs="Arial"/>
          <w:b/>
          <w:noProof/>
          <w:sz w:val="24"/>
          <w:szCs w:val="24"/>
          <w:lang w:val="tr-TR"/>
        </w:rPr>
      </w:pPr>
      <w:r w:rsidRPr="00AE37EE">
        <w:rPr>
          <w:rFonts w:ascii="Arial Narrow" w:hAnsi="Arial Narrow" w:cs="Arial"/>
          <w:b/>
          <w:noProof/>
          <w:sz w:val="24"/>
          <w:szCs w:val="24"/>
          <w:lang w:val="tr-TR"/>
        </w:rPr>
        <w:t xml:space="preserve">Vade sonunda bu Form’da/Sözleşme’de belirtildiği şekilde Hesabınızın nemalandırılabilmesi için başlangıçta Hesap’a yatırdığınız tutarın tamamının vade sonuna kadar blokede kalması gerekmektedir. Bu şekilde Hesap’taki tutar üzerindeki bloke vade sona erdiğinde otomatik/ kendiliğinden çözülecektir. Bu Form/Sözleşme çerçevesinde Hesabın vadeden önce kapatılmasının talep edilmesi durumunda Hesap bakiyesi, Form’un/Sözleşme’nin Hesabın Vadesinden Önce Kapatılması başlıklı maddesinde belirtilen şekilde güncellendikten sonra bloke otomatik/ kendiliğinden çözülecektir. </w:t>
      </w:r>
    </w:p>
    <w:p w14:paraId="4498D49F" w14:textId="02B534B9" w:rsidR="0076011F" w:rsidRPr="00AE37EE" w:rsidRDefault="0076011F" w:rsidP="0076011F">
      <w:pPr>
        <w:pStyle w:val="ListParagraph"/>
        <w:numPr>
          <w:ilvl w:val="0"/>
          <w:numId w:val="1"/>
        </w:numPr>
        <w:spacing w:line="240" w:lineRule="atLeast"/>
        <w:jc w:val="both"/>
        <w:rPr>
          <w:rFonts w:ascii="Arial Narrow" w:hAnsi="Arial Narrow" w:cs="Arial"/>
          <w:b/>
          <w:noProof/>
          <w:sz w:val="24"/>
          <w:szCs w:val="24"/>
          <w:lang w:val="tr-TR"/>
        </w:rPr>
      </w:pPr>
      <w:r w:rsidRPr="00AE37EE">
        <w:rPr>
          <w:rFonts w:ascii="Arial Narrow" w:hAnsi="Arial Narrow" w:cs="Arial"/>
          <w:b/>
          <w:noProof/>
          <w:sz w:val="24"/>
          <w:szCs w:val="24"/>
          <w:lang w:val="tr-TR"/>
        </w:rPr>
        <w:t>Hesap, vade sonunda yukarıda açıklanan hesaplama ile faiz tahakkuku</w:t>
      </w:r>
      <w:r w:rsidR="0029628C" w:rsidRPr="00AE37EE">
        <w:rPr>
          <w:rFonts w:ascii="Arial Narrow" w:hAnsi="Arial Narrow" w:cs="Arial"/>
          <w:b/>
          <w:noProof/>
          <w:sz w:val="24"/>
          <w:szCs w:val="24"/>
          <w:lang w:val="tr-TR"/>
        </w:rPr>
        <w:t xml:space="preserve">, ilave getiri </w:t>
      </w:r>
      <w:r w:rsidRPr="00AE37EE">
        <w:rPr>
          <w:rFonts w:ascii="Arial Narrow" w:hAnsi="Arial Narrow" w:cs="Arial"/>
          <w:b/>
          <w:noProof/>
          <w:sz w:val="24"/>
          <w:szCs w:val="24"/>
          <w:lang w:val="tr-TR"/>
        </w:rPr>
        <w:t xml:space="preserve"> ve Vade Sonu Kuru açıklandıktan sonra var ise Kur Farkı ödemesi gerçekleştikten sonra Müşteri’nin vadesiz hesabına aktarılacaktır.  </w:t>
      </w:r>
      <w:r w:rsidRPr="00AE37EE">
        <w:rPr>
          <w:rFonts w:ascii="Arial Narrow" w:hAnsi="Arial Narrow"/>
          <w:noProof/>
          <w:sz w:val="24"/>
          <w:szCs w:val="24"/>
          <w:lang w:val="tr-TR"/>
        </w:rPr>
        <w:t xml:space="preserve">Vade sonunda Müşterinin talebi üzerine vade başında dönüşümü yapılan döviz cinsinden ve </w:t>
      </w:r>
      <w:r w:rsidR="0017288E" w:rsidRPr="00AE37EE">
        <w:rPr>
          <w:rFonts w:ascii="Arial Narrow" w:hAnsi="Arial Narrow"/>
          <w:noProof/>
          <w:sz w:val="24"/>
          <w:szCs w:val="24"/>
          <w:lang w:val="tr-TR"/>
        </w:rPr>
        <w:t>V</w:t>
      </w:r>
      <w:r w:rsidRPr="00AE37EE">
        <w:rPr>
          <w:rFonts w:ascii="Arial Narrow" w:hAnsi="Arial Narrow"/>
          <w:noProof/>
          <w:sz w:val="24"/>
          <w:szCs w:val="24"/>
          <w:lang w:val="tr-TR"/>
        </w:rPr>
        <w:t xml:space="preserve">ade </w:t>
      </w:r>
      <w:r w:rsidR="0017288E" w:rsidRPr="00AE37EE">
        <w:rPr>
          <w:rFonts w:ascii="Arial Narrow" w:hAnsi="Arial Narrow"/>
          <w:noProof/>
          <w:sz w:val="24"/>
          <w:szCs w:val="24"/>
          <w:lang w:val="tr-TR"/>
        </w:rPr>
        <w:t>S</w:t>
      </w:r>
      <w:r w:rsidRPr="00AE37EE">
        <w:rPr>
          <w:rFonts w:ascii="Arial Narrow" w:hAnsi="Arial Narrow"/>
          <w:noProof/>
          <w:sz w:val="24"/>
          <w:szCs w:val="24"/>
          <w:lang w:val="tr-TR"/>
        </w:rPr>
        <w:t xml:space="preserve">onu </w:t>
      </w:r>
      <w:r w:rsidR="0017288E" w:rsidRPr="00AE37EE">
        <w:rPr>
          <w:rFonts w:ascii="Arial Narrow" w:hAnsi="Arial Narrow"/>
          <w:noProof/>
          <w:sz w:val="24"/>
          <w:szCs w:val="24"/>
          <w:lang w:val="tr-TR"/>
        </w:rPr>
        <w:t>K</w:t>
      </w:r>
      <w:r w:rsidRPr="00AE37EE">
        <w:rPr>
          <w:rFonts w:ascii="Arial Narrow" w:hAnsi="Arial Narrow"/>
          <w:noProof/>
          <w:sz w:val="24"/>
          <w:szCs w:val="24"/>
          <w:lang w:val="tr-TR"/>
        </w:rPr>
        <w:t>uru kullanılarak hesap yenilemesi yapılabilir. Müşteri yenilenen hesap kapsamında en fazla vade sonundaki Türk Lirası bakiyenin vade sonu kuru ile karşılık gelen döviz tutarı kadar olmak koşuluyla seçeceği vade üzerinden destekten yararlanmaya devam edebilir.</w:t>
      </w:r>
    </w:p>
    <w:p w14:paraId="3621A89C" w14:textId="77777777" w:rsidR="0076011F" w:rsidRPr="00AE37EE" w:rsidRDefault="0076011F" w:rsidP="0076011F">
      <w:pPr>
        <w:pStyle w:val="ListParagraph"/>
        <w:numPr>
          <w:ilvl w:val="0"/>
          <w:numId w:val="1"/>
        </w:numPr>
        <w:spacing w:line="240" w:lineRule="atLeast"/>
        <w:jc w:val="both"/>
        <w:rPr>
          <w:rFonts w:ascii="Arial Narrow" w:hAnsi="Arial Narrow" w:cs="Arial"/>
          <w:b/>
          <w:noProof/>
          <w:sz w:val="24"/>
          <w:szCs w:val="24"/>
          <w:lang w:val="tr-TR"/>
        </w:rPr>
      </w:pPr>
      <w:r w:rsidRPr="00AE37EE">
        <w:rPr>
          <w:rFonts w:ascii="Arial Narrow" w:hAnsi="Arial Narrow"/>
          <w:noProof/>
          <w:sz w:val="24"/>
          <w:szCs w:val="24"/>
          <w:lang w:val="tr-TR"/>
        </w:rPr>
        <w:t xml:space="preserve">Hesabın nemalandırılması ve </w:t>
      </w:r>
      <w:r w:rsidRPr="00AE37EE">
        <w:rPr>
          <w:rFonts w:ascii="Arial Narrow" w:hAnsi="Arial Narrow" w:cs="Arial"/>
          <w:b/>
          <w:noProof/>
          <w:sz w:val="24"/>
          <w:szCs w:val="24"/>
          <w:lang w:val="tr-TR"/>
        </w:rPr>
        <w:t>Hesapla ilgili tüm ödemeler her durumda TL olarak yapılacaktır.</w:t>
      </w:r>
    </w:p>
    <w:p w14:paraId="444E4223" w14:textId="77777777" w:rsidR="0076011F" w:rsidRPr="00AE37EE" w:rsidRDefault="0076011F" w:rsidP="0076011F">
      <w:pPr>
        <w:pStyle w:val="ListParagraph"/>
        <w:numPr>
          <w:ilvl w:val="0"/>
          <w:numId w:val="1"/>
        </w:numPr>
        <w:spacing w:line="240" w:lineRule="atLeast"/>
        <w:jc w:val="both"/>
        <w:rPr>
          <w:rFonts w:ascii="Arial Narrow" w:hAnsi="Arial Narrow" w:cs="Arial"/>
          <w:b/>
          <w:noProof/>
          <w:sz w:val="24"/>
          <w:szCs w:val="24"/>
          <w:lang w:val="tr-TR"/>
        </w:rPr>
      </w:pPr>
      <w:r w:rsidRPr="00AE37EE">
        <w:rPr>
          <w:rFonts w:ascii="Arial Narrow" w:hAnsi="Arial Narrow" w:cs="Arial"/>
          <w:b/>
          <w:noProof/>
          <w:sz w:val="24"/>
          <w:szCs w:val="24"/>
          <w:lang w:val="tr-TR"/>
        </w:rPr>
        <w:t>Hesaptan vade süresi boyunca kısmi çekim işlemi yapılamayacaktır. Hesaba açılış günü haricinde vade süresi boyunca para yatırma işlemi yapılamayacaktır.</w:t>
      </w:r>
    </w:p>
    <w:p w14:paraId="094C0DE9" w14:textId="744793E7" w:rsidR="0076011F" w:rsidRPr="00AE37EE" w:rsidRDefault="0076011F" w:rsidP="0076011F">
      <w:pPr>
        <w:pStyle w:val="ListParagraph"/>
        <w:numPr>
          <w:ilvl w:val="0"/>
          <w:numId w:val="1"/>
        </w:numPr>
        <w:spacing w:line="240" w:lineRule="atLeast"/>
        <w:jc w:val="both"/>
        <w:rPr>
          <w:rFonts w:ascii="Arial Narrow" w:hAnsi="Arial Narrow"/>
          <w:noProof/>
          <w:sz w:val="24"/>
          <w:szCs w:val="24"/>
          <w:lang w:val="tr-TR"/>
        </w:rPr>
      </w:pPr>
      <w:r w:rsidRPr="00AE37EE">
        <w:rPr>
          <w:rFonts w:ascii="Arial Narrow" w:hAnsi="Arial Narrow"/>
          <w:b/>
          <w:noProof/>
          <w:sz w:val="24"/>
          <w:szCs w:val="24"/>
          <w:lang w:val="tr-TR"/>
        </w:rPr>
        <w:t xml:space="preserve">Hesap açılış işlemleri </w:t>
      </w:r>
      <w:r w:rsidRPr="00AE37EE">
        <w:rPr>
          <w:rFonts w:ascii="Arial Narrow" w:hAnsi="Arial Narrow"/>
          <w:b/>
          <w:noProof/>
          <w:sz w:val="24"/>
          <w:szCs w:val="24"/>
          <w:u w:val="single"/>
          <w:lang w:val="tr-TR"/>
        </w:rPr>
        <w:t>iş günlerinde 10:00-16:00 saat aralığında, hesap kapama</w:t>
      </w:r>
      <w:r w:rsidR="0029628C" w:rsidRPr="00AE37EE">
        <w:rPr>
          <w:rFonts w:ascii="Arial Narrow" w:hAnsi="Arial Narrow"/>
          <w:b/>
          <w:noProof/>
          <w:sz w:val="24"/>
          <w:szCs w:val="24"/>
          <w:u w:val="single"/>
          <w:lang w:val="tr-TR"/>
        </w:rPr>
        <w:t xml:space="preserve"> </w:t>
      </w:r>
      <w:r w:rsidRPr="00AE37EE">
        <w:rPr>
          <w:rFonts w:ascii="Arial Narrow" w:hAnsi="Arial Narrow"/>
          <w:b/>
          <w:noProof/>
          <w:sz w:val="24"/>
          <w:szCs w:val="24"/>
          <w:u w:val="single"/>
          <w:lang w:val="tr-TR"/>
        </w:rPr>
        <w:t>(vade sonu ve vadeden önce erken kapama) işlemleri iş günlerinde 11:00 – 16:00 saat aralığında yapılacaktır.</w:t>
      </w:r>
    </w:p>
    <w:p w14:paraId="45BE6B47" w14:textId="77777777" w:rsidR="0076011F" w:rsidRPr="00AE37EE" w:rsidRDefault="0076011F" w:rsidP="0076011F">
      <w:pPr>
        <w:pStyle w:val="ListParagraph"/>
        <w:numPr>
          <w:ilvl w:val="0"/>
          <w:numId w:val="1"/>
        </w:numPr>
        <w:spacing w:line="240" w:lineRule="atLeast"/>
        <w:jc w:val="both"/>
        <w:rPr>
          <w:rFonts w:ascii="Arial Narrow" w:hAnsi="Arial Narrow"/>
          <w:noProof/>
          <w:sz w:val="24"/>
          <w:szCs w:val="24"/>
          <w:lang w:val="tr-TR"/>
        </w:rPr>
      </w:pPr>
      <w:r w:rsidRPr="00AE37EE">
        <w:rPr>
          <w:rFonts w:ascii="Arial Narrow" w:hAnsi="Arial Narrow"/>
          <w:noProof/>
          <w:sz w:val="24"/>
          <w:szCs w:val="24"/>
          <w:lang w:val="tr-TR"/>
        </w:rPr>
        <w:t>Hesap açılış tarihindeki dönüşüm kuru olarak kullanılacak olan döviz alış kuru ile hesap kapanışlarında kullanılacak olan döviz alış kurları aynı döviz çiftine ait olacaktır.</w:t>
      </w:r>
    </w:p>
    <w:p w14:paraId="35264F25" w14:textId="77777777" w:rsidR="0076011F" w:rsidRPr="00AE37EE" w:rsidRDefault="0076011F" w:rsidP="0076011F">
      <w:pPr>
        <w:pStyle w:val="ListParagraph"/>
        <w:numPr>
          <w:ilvl w:val="0"/>
          <w:numId w:val="1"/>
        </w:numPr>
        <w:spacing w:line="240" w:lineRule="atLeast"/>
        <w:jc w:val="both"/>
        <w:rPr>
          <w:rFonts w:ascii="Arial Narrow" w:hAnsi="Arial Narrow" w:cs="Arial"/>
          <w:b/>
          <w:noProof/>
          <w:sz w:val="24"/>
          <w:szCs w:val="24"/>
          <w:lang w:val="tr-TR"/>
        </w:rPr>
      </w:pPr>
      <w:r w:rsidRPr="00AE37EE">
        <w:rPr>
          <w:rFonts w:ascii="Arial Narrow" w:hAnsi="Arial Narrow" w:cs="Arial"/>
          <w:b/>
          <w:noProof/>
          <w:sz w:val="24"/>
          <w:szCs w:val="24"/>
          <w:lang w:val="tr-TR"/>
        </w:rPr>
        <w:t xml:space="preserve">Vergi kesintileri, Hesabın açılış tarihinde ilgili vade için geçerli olan cari vergi oranları üzerinden hesaplanacaktır. Bu Formdan/Sözleşme’den doğmuş ve doğacak vergisel yükümlülükler tarafınıza aittir. Bu vergisel yükümlülüklere dair değişiklikler yürürlük tarihinden itibaren uygulanır. </w:t>
      </w:r>
    </w:p>
    <w:p w14:paraId="19B71BCE" w14:textId="46A3D9B1" w:rsidR="0076011F" w:rsidRPr="00AE37EE" w:rsidRDefault="0076011F" w:rsidP="0076011F">
      <w:pPr>
        <w:pStyle w:val="ListParagraph"/>
        <w:numPr>
          <w:ilvl w:val="0"/>
          <w:numId w:val="1"/>
        </w:numPr>
        <w:spacing w:line="240" w:lineRule="atLeast"/>
        <w:jc w:val="both"/>
        <w:rPr>
          <w:rFonts w:ascii="Arial Narrow" w:hAnsi="Arial Narrow" w:cs="Arial"/>
          <w:b/>
          <w:noProof/>
          <w:sz w:val="24"/>
          <w:szCs w:val="24"/>
          <w:lang w:val="tr-TR"/>
        </w:rPr>
      </w:pPr>
      <w:r w:rsidRPr="00AE37EE">
        <w:rPr>
          <w:rFonts w:ascii="Arial Narrow" w:hAnsi="Arial Narrow" w:cs="Arial"/>
          <w:b/>
          <w:noProof/>
          <w:sz w:val="24"/>
          <w:szCs w:val="24"/>
          <w:lang w:val="tr-TR"/>
        </w:rPr>
        <w:t>Hesaba ilişkin</w:t>
      </w:r>
      <w:r w:rsidR="00C90594" w:rsidRPr="00AE37EE">
        <w:rPr>
          <w:rFonts w:ascii="Arial Narrow" w:hAnsi="Arial Narrow" w:cs="Arial"/>
          <w:b/>
          <w:noProof/>
          <w:sz w:val="24"/>
          <w:szCs w:val="24"/>
          <w:lang w:val="tr-TR"/>
        </w:rPr>
        <w:t xml:space="preserve"> 01/02/2022 </w:t>
      </w:r>
      <w:r w:rsidRPr="00AE37EE">
        <w:rPr>
          <w:rFonts w:ascii="Arial Narrow" w:hAnsi="Arial Narrow" w:cs="Arial"/>
          <w:b/>
          <w:noProof/>
          <w:sz w:val="24"/>
          <w:szCs w:val="24"/>
          <w:lang w:val="tr-TR"/>
        </w:rPr>
        <w:t xml:space="preserve"> tarihli 31</w:t>
      </w:r>
      <w:r w:rsidR="00C90594" w:rsidRPr="00AE37EE">
        <w:rPr>
          <w:rFonts w:ascii="Arial Narrow" w:hAnsi="Arial Narrow" w:cs="Arial"/>
          <w:b/>
          <w:noProof/>
          <w:sz w:val="24"/>
          <w:szCs w:val="24"/>
          <w:lang w:val="tr-TR"/>
        </w:rPr>
        <w:t xml:space="preserve">737 </w:t>
      </w:r>
      <w:r w:rsidRPr="00AE37EE">
        <w:rPr>
          <w:rFonts w:ascii="Arial Narrow" w:hAnsi="Arial Narrow" w:cs="Arial"/>
          <w:b/>
          <w:noProof/>
          <w:sz w:val="24"/>
          <w:szCs w:val="24"/>
          <w:lang w:val="tr-TR"/>
        </w:rPr>
        <w:t xml:space="preserve"> sayılı Resmi Gazete’de yayımlanan, </w:t>
      </w:r>
      <w:r w:rsidR="004418D3" w:rsidRPr="00AE37EE">
        <w:rPr>
          <w:rFonts w:ascii="Arial Narrow" w:hAnsi="Arial Narrow"/>
          <w:b/>
          <w:noProof/>
          <w:sz w:val="24"/>
          <w:szCs w:val="24"/>
          <w:lang w:val="tr-TR"/>
        </w:rPr>
        <w:t>2022/7 sayılı Yurt Dışında Yerleşik Vatandaşlar Mevduat ve Katılım Sistemi (YUVAM) Hesapları Hakkında Tebliğ</w:t>
      </w:r>
      <w:r w:rsidR="001E16A0" w:rsidRPr="00AE37EE">
        <w:rPr>
          <w:rFonts w:ascii="Arial Narrow" w:hAnsi="Arial Narrow"/>
          <w:b/>
          <w:noProof/>
          <w:sz w:val="24"/>
          <w:szCs w:val="24"/>
          <w:lang w:val="tr-TR"/>
        </w:rPr>
        <w:t xml:space="preserve"> (“Tebliğ”)</w:t>
      </w:r>
      <w:r w:rsidR="004418D3" w:rsidRPr="00AE37EE">
        <w:rPr>
          <w:rFonts w:ascii="Arial Narrow" w:hAnsi="Arial Narrow"/>
          <w:b/>
          <w:noProof/>
          <w:sz w:val="24"/>
          <w:szCs w:val="24"/>
          <w:lang w:val="tr-TR"/>
        </w:rPr>
        <w:t xml:space="preserve">ve </w:t>
      </w:r>
      <w:r w:rsidR="001E16A0" w:rsidRPr="00AE37EE">
        <w:rPr>
          <w:rFonts w:ascii="Arial Narrow" w:hAnsi="Arial Narrow"/>
          <w:b/>
          <w:noProof/>
          <w:sz w:val="24"/>
          <w:szCs w:val="24"/>
          <w:lang w:val="tr-TR"/>
        </w:rPr>
        <w:t xml:space="preserve">Yurt Dışında Yerleşik Vatandaşlar Mevduat ve Katılım Sistemi (Yuvam Hesapları) </w:t>
      </w:r>
      <w:r w:rsidR="004418D3" w:rsidRPr="00AE37EE">
        <w:rPr>
          <w:rFonts w:ascii="Arial Narrow" w:hAnsi="Arial Narrow"/>
          <w:b/>
          <w:noProof/>
          <w:sz w:val="24"/>
          <w:szCs w:val="24"/>
          <w:lang w:val="tr-TR"/>
        </w:rPr>
        <w:t>Hakkında Tebliğe İlişkin Uygulama Talimatı (“Uygulama Talimatı”)</w:t>
      </w:r>
      <w:r w:rsidRPr="00AE37EE">
        <w:rPr>
          <w:rFonts w:ascii="Arial Narrow" w:hAnsi="Arial Narrow" w:cs="Arial"/>
          <w:b/>
          <w:noProof/>
          <w:sz w:val="24"/>
          <w:szCs w:val="24"/>
          <w:lang w:val="tr-TR"/>
        </w:rPr>
        <w:t xml:space="preserve"> başta olmak üzere, TCMB ve kanunen yetkili kılınan diğer kamu kurum ve kuruluşları tarafından bu Formun imza tarihinden sonra yapılacak açıklamalara, duyurulara, bankacılık uygulamalarına ve yasal düzenlemelere uygun olarak değişiklik olabileceği, bu değişikliklere istinaden tarafınıza ayrıca bilgilendirme yapma yükümlülüğü olmadan bu Form ve Sözleşme koşullarında değişiklik yapılabileceği, bu değişikliklerin yürürlük tarihi itibariyle kendiliğinden bu Hesaba/Forma/Sözleşme’ye uygulanacağı tarafınızca anlaşılmıştır.</w:t>
      </w:r>
    </w:p>
    <w:p w14:paraId="20B26DC1" w14:textId="77777777" w:rsidR="0076011F" w:rsidRPr="00AE37EE" w:rsidRDefault="0076011F" w:rsidP="0076011F">
      <w:pPr>
        <w:rPr>
          <w:rFonts w:ascii="Arial Narrow" w:hAnsi="Arial Narrow" w:cs="Arial"/>
          <w:noProof/>
          <w:sz w:val="24"/>
          <w:szCs w:val="24"/>
          <w:lang w:val="tr-TR"/>
        </w:rPr>
      </w:pPr>
    </w:p>
    <w:p w14:paraId="7FF5CD18" w14:textId="77777777" w:rsidR="0032624A" w:rsidRDefault="0032624A" w:rsidP="0076011F">
      <w:pPr>
        <w:tabs>
          <w:tab w:val="left" w:pos="709"/>
        </w:tabs>
        <w:rPr>
          <w:rFonts w:ascii="Arial Narrow" w:hAnsi="Arial Narrow" w:cs="Arial"/>
          <w:b/>
          <w:noProof/>
          <w:sz w:val="24"/>
          <w:szCs w:val="24"/>
          <w:lang w:val="tr-TR"/>
        </w:rPr>
      </w:pPr>
    </w:p>
    <w:p w14:paraId="474FD3BE" w14:textId="77777777" w:rsidR="0032624A" w:rsidRDefault="0032624A" w:rsidP="0076011F">
      <w:pPr>
        <w:tabs>
          <w:tab w:val="left" w:pos="709"/>
        </w:tabs>
        <w:rPr>
          <w:rFonts w:ascii="Arial Narrow" w:hAnsi="Arial Narrow" w:cs="Arial"/>
          <w:b/>
          <w:noProof/>
          <w:sz w:val="24"/>
          <w:szCs w:val="24"/>
          <w:lang w:val="tr-TR"/>
        </w:rPr>
      </w:pPr>
    </w:p>
    <w:p w14:paraId="728E9EF3" w14:textId="77777777" w:rsidR="0032624A" w:rsidRDefault="0032624A" w:rsidP="0076011F">
      <w:pPr>
        <w:tabs>
          <w:tab w:val="left" w:pos="709"/>
        </w:tabs>
        <w:rPr>
          <w:rFonts w:ascii="Arial Narrow" w:hAnsi="Arial Narrow" w:cs="Arial"/>
          <w:b/>
          <w:noProof/>
          <w:sz w:val="24"/>
          <w:szCs w:val="24"/>
          <w:lang w:val="tr-TR"/>
        </w:rPr>
      </w:pPr>
    </w:p>
    <w:p w14:paraId="6E04CC28" w14:textId="77777777" w:rsidR="0032624A" w:rsidRDefault="0032624A" w:rsidP="0076011F">
      <w:pPr>
        <w:tabs>
          <w:tab w:val="left" w:pos="709"/>
        </w:tabs>
        <w:rPr>
          <w:rFonts w:ascii="Arial Narrow" w:hAnsi="Arial Narrow" w:cs="Arial"/>
          <w:b/>
          <w:noProof/>
          <w:sz w:val="24"/>
          <w:szCs w:val="24"/>
          <w:lang w:val="tr-TR"/>
        </w:rPr>
      </w:pPr>
    </w:p>
    <w:p w14:paraId="639F0A8E" w14:textId="77777777" w:rsidR="0032624A" w:rsidRDefault="0032624A" w:rsidP="0076011F">
      <w:pPr>
        <w:tabs>
          <w:tab w:val="left" w:pos="709"/>
        </w:tabs>
        <w:rPr>
          <w:rFonts w:ascii="Arial Narrow" w:hAnsi="Arial Narrow" w:cs="Arial"/>
          <w:b/>
          <w:noProof/>
          <w:sz w:val="24"/>
          <w:szCs w:val="24"/>
          <w:lang w:val="tr-TR"/>
        </w:rPr>
      </w:pPr>
    </w:p>
    <w:p w14:paraId="23DFEDC6" w14:textId="77777777" w:rsidR="0032624A" w:rsidRDefault="0032624A" w:rsidP="0076011F">
      <w:pPr>
        <w:tabs>
          <w:tab w:val="left" w:pos="709"/>
        </w:tabs>
        <w:rPr>
          <w:rFonts w:ascii="Arial Narrow" w:hAnsi="Arial Narrow" w:cs="Arial"/>
          <w:b/>
          <w:noProof/>
          <w:sz w:val="24"/>
          <w:szCs w:val="24"/>
          <w:lang w:val="tr-TR"/>
        </w:rPr>
      </w:pPr>
    </w:p>
    <w:p w14:paraId="78293643" w14:textId="6764DF85" w:rsidR="0076011F" w:rsidRPr="00AE37EE" w:rsidRDefault="0076011F" w:rsidP="0076011F">
      <w:pPr>
        <w:tabs>
          <w:tab w:val="left" w:pos="709"/>
        </w:tabs>
        <w:rPr>
          <w:rFonts w:ascii="Arial Narrow" w:hAnsi="Arial Narrow" w:cs="Arial"/>
          <w:noProof/>
          <w:sz w:val="24"/>
          <w:szCs w:val="24"/>
          <w:lang w:val="tr-TR"/>
        </w:rPr>
      </w:pPr>
      <w:r w:rsidRPr="00AE37EE">
        <w:rPr>
          <w:rFonts w:ascii="Arial Narrow" w:hAnsi="Arial Narrow" w:cs="Arial"/>
          <w:b/>
          <w:noProof/>
          <w:sz w:val="24"/>
          <w:szCs w:val="24"/>
          <w:lang w:val="tr-TR"/>
        </w:rPr>
        <w:t>İşbu Form imza/onay tarihinde yürürlüğe girer</w:t>
      </w:r>
      <w:r w:rsidRPr="00AE37EE">
        <w:rPr>
          <w:rFonts w:ascii="Arial Narrow" w:hAnsi="Arial Narrow" w:cs="Arial"/>
          <w:noProof/>
          <w:sz w:val="24"/>
          <w:szCs w:val="24"/>
          <w:lang w:val="tr-TR"/>
        </w:rPr>
        <w:t>.</w:t>
      </w:r>
      <w:r w:rsidRPr="00AE37EE">
        <w:rPr>
          <w:noProof/>
        </w:rPr>
        <w:t xml:space="preserve"> </w:t>
      </w:r>
      <w:r w:rsidRPr="00AE37EE">
        <w:rPr>
          <w:rFonts w:ascii="Arial Narrow" w:hAnsi="Arial Narrow" w:cs="Arial"/>
          <w:noProof/>
          <w:sz w:val="24"/>
          <w:szCs w:val="24"/>
          <w:lang w:val="tr-TR"/>
        </w:rPr>
        <w:t>Bu Form’un bir örneği tarafınıza teslim edilmiştir.</w:t>
      </w:r>
    </w:p>
    <w:p w14:paraId="6013AE89" w14:textId="77777777" w:rsidR="0076011F" w:rsidRPr="00AE37EE" w:rsidRDefault="0076011F" w:rsidP="0076011F">
      <w:pPr>
        <w:jc w:val="both"/>
        <w:rPr>
          <w:rFonts w:ascii="Arial Narrow" w:hAnsi="Arial Narrow" w:cs="Arial"/>
          <w:b/>
          <w:noProof/>
          <w:sz w:val="24"/>
          <w:szCs w:val="24"/>
          <w:lang w:val="tr-TR"/>
        </w:rPr>
      </w:pPr>
    </w:p>
    <w:p w14:paraId="6E1BA3E5" w14:textId="77777777" w:rsidR="0076011F" w:rsidRPr="00AE37EE" w:rsidRDefault="0076011F" w:rsidP="0076011F">
      <w:pPr>
        <w:jc w:val="both"/>
        <w:rPr>
          <w:rFonts w:ascii="Arial Narrow" w:hAnsi="Arial Narrow" w:cs="Arial"/>
          <w:b/>
          <w:noProof/>
          <w:sz w:val="24"/>
          <w:szCs w:val="24"/>
          <w:lang w:val="tr-TR"/>
        </w:rPr>
      </w:pPr>
      <w:r w:rsidRPr="00AE37EE">
        <w:rPr>
          <w:rFonts w:ascii="Arial Narrow" w:hAnsi="Arial Narrow" w:cs="Arial"/>
          <w:b/>
          <w:noProof/>
          <w:sz w:val="24"/>
          <w:szCs w:val="24"/>
          <w:lang w:val="tr-TR"/>
        </w:rPr>
        <w:t>Finansal tüketici sıfatındaki müşterilerimiz, lütfen kutuya “Bu Formun ve Sözleşmenin bir nüshasını elden teslim aldım” yazınız.</w:t>
      </w:r>
    </w:p>
    <w:tbl>
      <w:tblPr>
        <w:tblStyle w:val="TableGrid"/>
        <w:tblpPr w:leftFromText="141" w:rightFromText="141" w:vertAnchor="text" w:horzAnchor="margin" w:tblpY="42"/>
        <w:tblW w:w="9324" w:type="dxa"/>
        <w:tblLook w:val="04A0" w:firstRow="1" w:lastRow="0" w:firstColumn="1" w:lastColumn="0" w:noHBand="0" w:noVBand="1"/>
      </w:tblPr>
      <w:tblGrid>
        <w:gridCol w:w="9324"/>
      </w:tblGrid>
      <w:tr w:rsidR="00AE37EE" w:rsidRPr="00AE37EE" w14:paraId="6DA632A4" w14:textId="77777777" w:rsidTr="00913424">
        <w:trPr>
          <w:trHeight w:val="1457"/>
        </w:trPr>
        <w:tc>
          <w:tcPr>
            <w:tcW w:w="9324" w:type="dxa"/>
          </w:tcPr>
          <w:p w14:paraId="356B7823" w14:textId="77777777" w:rsidR="0076011F" w:rsidRPr="00AE37EE" w:rsidRDefault="0076011F" w:rsidP="00913424">
            <w:pPr>
              <w:jc w:val="both"/>
              <w:rPr>
                <w:rFonts w:ascii="Arial Narrow" w:hAnsi="Arial Narrow" w:cs="Arial"/>
                <w:b/>
                <w:noProof/>
                <w:sz w:val="24"/>
                <w:szCs w:val="24"/>
                <w:lang w:val="tr-TR"/>
              </w:rPr>
            </w:pPr>
          </w:p>
          <w:p w14:paraId="76EC9893" w14:textId="77777777" w:rsidR="0076011F" w:rsidRPr="00AE37EE" w:rsidRDefault="0076011F" w:rsidP="00913424">
            <w:pPr>
              <w:jc w:val="both"/>
              <w:rPr>
                <w:rFonts w:ascii="Arial Narrow" w:hAnsi="Arial Narrow" w:cs="Arial"/>
                <w:b/>
                <w:noProof/>
                <w:sz w:val="24"/>
                <w:szCs w:val="24"/>
                <w:lang w:val="tr-TR"/>
              </w:rPr>
            </w:pPr>
          </w:p>
        </w:tc>
      </w:tr>
    </w:tbl>
    <w:p w14:paraId="1BF1A582" w14:textId="77777777" w:rsidR="0076011F" w:rsidRPr="00AE37EE" w:rsidRDefault="0076011F" w:rsidP="0076011F">
      <w:pPr>
        <w:jc w:val="both"/>
        <w:rPr>
          <w:rFonts w:ascii="Arial Narrow" w:hAnsi="Arial Narrow" w:cs="Arial"/>
          <w:b/>
          <w:noProof/>
          <w:sz w:val="24"/>
          <w:szCs w:val="24"/>
          <w:lang w:val="tr-TR"/>
        </w:rPr>
      </w:pPr>
    </w:p>
    <w:p w14:paraId="20671D4F" w14:textId="77777777" w:rsidR="0076011F" w:rsidRPr="00AE37EE" w:rsidRDefault="0076011F" w:rsidP="0076011F">
      <w:pPr>
        <w:jc w:val="both"/>
        <w:rPr>
          <w:rFonts w:ascii="Arial Narrow" w:hAnsi="Arial Narrow"/>
          <w:noProof/>
          <w:sz w:val="24"/>
          <w:szCs w:val="24"/>
          <w:lang w:val="tr-TR"/>
        </w:rPr>
      </w:pPr>
      <w:r w:rsidRPr="00AE37EE">
        <w:rPr>
          <w:rFonts w:ascii="Arial Narrow" w:hAnsi="Arial Narrow"/>
          <w:noProof/>
          <w:sz w:val="24"/>
          <w:szCs w:val="24"/>
          <w:lang w:val="tr-TR"/>
        </w:rPr>
        <w:t>İşbu formun dijital kanallardan onaylanması halinde, Müşteri bu forma ve diğer belgelere kalıcı veri saklayıcısı aracılığıyla dilediği zaman  ulaşabilir.</w:t>
      </w:r>
    </w:p>
    <w:p w14:paraId="2EDC1234" w14:textId="77777777" w:rsidR="0076011F" w:rsidRPr="00AE37EE" w:rsidRDefault="0076011F" w:rsidP="0076011F">
      <w:pPr>
        <w:jc w:val="both"/>
        <w:rPr>
          <w:rFonts w:ascii="Arial Narrow" w:hAnsi="Arial Narrow"/>
          <w:noProof/>
          <w:sz w:val="24"/>
          <w:szCs w:val="24"/>
          <w:lang w:val="tr-TR"/>
        </w:rPr>
      </w:pPr>
    </w:p>
    <w:p w14:paraId="4BB318B3" w14:textId="77777777" w:rsidR="0076011F" w:rsidRPr="00AE37EE" w:rsidRDefault="0076011F" w:rsidP="0076011F">
      <w:pPr>
        <w:jc w:val="both"/>
        <w:rPr>
          <w:rFonts w:ascii="Arial Narrow" w:hAnsi="Arial Narrow"/>
          <w:noProof/>
          <w:sz w:val="24"/>
          <w:szCs w:val="24"/>
          <w:lang w:val="tr-TR"/>
        </w:rPr>
      </w:pPr>
      <w:r w:rsidRPr="00AE37EE">
        <w:rPr>
          <w:rFonts w:ascii="Arial Narrow" w:hAnsi="Arial Narrow"/>
          <w:noProof/>
          <w:sz w:val="24"/>
          <w:szCs w:val="24"/>
          <w:lang w:val="tr-TR"/>
        </w:rPr>
        <w:t>Mesafeli olarak uzaktan erişim aracı ile işlem yapılması halinde, bu form el yazısı ile imzaya gerek kalmaksızın elektronik ortamda onaylanır.</w:t>
      </w:r>
    </w:p>
    <w:p w14:paraId="30C773A1" w14:textId="77777777" w:rsidR="0076011F" w:rsidRPr="00AE37EE" w:rsidRDefault="0076011F" w:rsidP="0076011F">
      <w:pPr>
        <w:jc w:val="both"/>
        <w:rPr>
          <w:rFonts w:ascii="Arial Narrow" w:hAnsi="Arial Narrow"/>
          <w:noProof/>
          <w:sz w:val="24"/>
          <w:szCs w:val="24"/>
          <w:lang w:val="tr-TR"/>
        </w:rPr>
      </w:pPr>
    </w:p>
    <w:p w14:paraId="6EABB0D7" w14:textId="77777777" w:rsidR="0076011F" w:rsidRPr="00AE37EE" w:rsidRDefault="0076011F" w:rsidP="0076011F">
      <w:pPr>
        <w:jc w:val="both"/>
        <w:rPr>
          <w:rFonts w:ascii="Arial Narrow" w:hAnsi="Arial Narrow" w:cs="Arial"/>
          <w:b/>
          <w:noProof/>
          <w:sz w:val="24"/>
          <w:szCs w:val="24"/>
          <w:lang w:val="tr-TR"/>
        </w:rPr>
      </w:pPr>
      <w:r w:rsidRPr="00AE37EE">
        <w:rPr>
          <w:rFonts w:ascii="Arial Narrow" w:hAnsi="Arial Narrow"/>
          <w:noProof/>
          <w:sz w:val="24"/>
          <w:szCs w:val="24"/>
          <w:lang w:val="tr-TR"/>
        </w:rPr>
        <w:t xml:space="preserve">İşbu formda yer alan bilgiler, Sözleşme’nin Müşteri tarafından imzalanacağı/onaylanacağı ana kadar bağlayıcı olacaktır. </w:t>
      </w:r>
    </w:p>
    <w:p w14:paraId="4BAC21A4" w14:textId="77777777" w:rsidR="0076011F" w:rsidRPr="00AE37EE" w:rsidRDefault="0076011F" w:rsidP="0076011F">
      <w:pPr>
        <w:jc w:val="both"/>
        <w:rPr>
          <w:rFonts w:ascii="Arial Narrow" w:hAnsi="Arial Narrow" w:cs="Arial"/>
          <w:b/>
          <w:noProof/>
          <w:sz w:val="24"/>
          <w:szCs w:val="24"/>
          <w:lang w:val="tr-TR"/>
        </w:rPr>
      </w:pPr>
    </w:p>
    <w:p w14:paraId="25935C08" w14:textId="77777777" w:rsidR="0076011F" w:rsidRPr="00AE37EE" w:rsidRDefault="0076011F" w:rsidP="0076011F">
      <w:pPr>
        <w:pStyle w:val="NoSpacing"/>
        <w:rPr>
          <w:noProof/>
          <w:lang w:val="tr-TR"/>
        </w:rPr>
      </w:pPr>
    </w:p>
    <w:p w14:paraId="213E7560" w14:textId="77777777" w:rsidR="0076011F" w:rsidRPr="00AE37EE" w:rsidRDefault="0076011F" w:rsidP="0076011F">
      <w:pPr>
        <w:jc w:val="both"/>
        <w:rPr>
          <w:rFonts w:ascii="Arial Narrow" w:hAnsi="Arial Narrow" w:cs="Arial"/>
          <w:b/>
          <w:noProof/>
          <w:sz w:val="24"/>
          <w:szCs w:val="24"/>
          <w:lang w:val="tr-TR"/>
        </w:rPr>
      </w:pPr>
      <w:r w:rsidRPr="00AE37EE">
        <w:rPr>
          <w:rFonts w:ascii="Arial Narrow" w:hAnsi="Arial Narrow" w:cs="Arial"/>
          <w:b/>
          <w:noProof/>
          <w:sz w:val="24"/>
          <w:szCs w:val="24"/>
          <w:lang w:val="tr-TR"/>
        </w:rPr>
        <w:t>Finansal tüketici sıfatına sahip olmayan müşterilerimiz bu Formun ve Sözleşmenin bir nüshasını elden teslim almıştır.</w:t>
      </w:r>
    </w:p>
    <w:p w14:paraId="7429AEE0" w14:textId="77777777" w:rsidR="0076011F" w:rsidRPr="00AE37EE" w:rsidRDefault="0076011F" w:rsidP="0076011F">
      <w:pPr>
        <w:spacing w:before="31"/>
        <w:ind w:right="-5"/>
        <w:jc w:val="both"/>
        <w:rPr>
          <w:rFonts w:ascii="Arial Narrow" w:eastAsia="Arial Narrow" w:hAnsi="Arial Narrow" w:cs="Arial"/>
          <w:b/>
          <w:bCs/>
          <w:noProof/>
          <w:sz w:val="24"/>
          <w:szCs w:val="24"/>
          <w:lang w:val="tr-TR"/>
        </w:rPr>
      </w:pPr>
    </w:p>
    <w:tbl>
      <w:tblPr>
        <w:tblStyle w:val="TableGrid"/>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049"/>
        <w:gridCol w:w="3049"/>
      </w:tblGrid>
      <w:tr w:rsidR="0076011F" w:rsidRPr="00AE37EE" w14:paraId="76FC157D" w14:textId="77777777" w:rsidTr="00913424">
        <w:trPr>
          <w:trHeight w:val="2534"/>
        </w:trPr>
        <w:tc>
          <w:tcPr>
            <w:tcW w:w="3048" w:type="dxa"/>
          </w:tcPr>
          <w:p w14:paraId="7E26C0C1"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r w:rsidRPr="00AE37EE">
              <w:rPr>
                <w:rFonts w:ascii="Arial Narrow" w:eastAsia="Arial Narrow" w:hAnsi="Arial Narrow" w:cs="Arial"/>
                <w:b/>
                <w:bCs/>
                <w:noProof/>
                <w:sz w:val="24"/>
                <w:szCs w:val="24"/>
                <w:lang w:val="tr-TR"/>
              </w:rPr>
              <w:t>Müşteri</w:t>
            </w:r>
          </w:p>
          <w:p w14:paraId="2FBDB635"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r w:rsidRPr="00AE37EE">
              <w:rPr>
                <w:rFonts w:ascii="Arial Narrow" w:eastAsia="Arial Narrow" w:hAnsi="Arial Narrow" w:cs="Arial"/>
                <w:b/>
                <w:bCs/>
                <w:noProof/>
                <w:sz w:val="24"/>
                <w:szCs w:val="24"/>
                <w:lang w:val="tr-TR"/>
              </w:rPr>
              <w:t xml:space="preserve">Ad-Soyadı/Unvan: </w:t>
            </w:r>
            <w:r w:rsidRPr="00AE37EE">
              <w:rPr>
                <w:rFonts w:ascii="Arial Narrow" w:hAnsi="Arial Narrow" w:cs="Arial"/>
                <w:noProof/>
                <w:sz w:val="24"/>
                <w:szCs w:val="24"/>
                <w:lang w:val="tr-TR"/>
              </w:rPr>
              <w:t>______________</w:t>
            </w:r>
          </w:p>
          <w:p w14:paraId="1C03E01B"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p>
          <w:p w14:paraId="5BB91EE9"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r w:rsidRPr="00AE37EE">
              <w:rPr>
                <w:rFonts w:ascii="Arial Narrow" w:hAnsi="Arial Narrow" w:cs="Arial"/>
                <w:noProof/>
                <w:sz w:val="24"/>
                <w:szCs w:val="24"/>
                <w:lang w:val="tr-TR"/>
              </w:rPr>
              <mc:AlternateContent>
                <mc:Choice Requires="wps">
                  <w:drawing>
                    <wp:anchor distT="45720" distB="45720" distL="114300" distR="114300" simplePos="0" relativeHeight="251659264" behindDoc="0" locked="0" layoutInCell="1" allowOverlap="1" wp14:anchorId="4D635FFE" wp14:editId="7866719B">
                      <wp:simplePos x="0" y="0"/>
                      <wp:positionH relativeFrom="column">
                        <wp:posOffset>298450</wp:posOffset>
                      </wp:positionH>
                      <wp:positionV relativeFrom="paragraph">
                        <wp:posOffset>268605</wp:posOffset>
                      </wp:positionV>
                      <wp:extent cx="1219200" cy="386080"/>
                      <wp:effectExtent l="0" t="0" r="190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6080"/>
                              </a:xfrm>
                              <a:prstGeom prst="rect">
                                <a:avLst/>
                              </a:prstGeom>
                              <a:solidFill>
                                <a:srgbClr val="FFFFFF"/>
                              </a:solidFill>
                              <a:ln w="19050">
                                <a:solidFill>
                                  <a:srgbClr val="000000"/>
                                </a:solidFill>
                                <a:miter lim="800000"/>
                                <a:headEnd/>
                                <a:tailEnd/>
                              </a:ln>
                            </wps:spPr>
                            <wps:txbx>
                              <w:txbxContent>
                                <w:p w14:paraId="42890373" w14:textId="77777777" w:rsidR="0076011F" w:rsidRPr="00D7088C" w:rsidRDefault="0076011F" w:rsidP="0076011F">
                                  <w:pPr>
                                    <w:jc w:val="center"/>
                                    <w:rPr>
                                      <w:noProof/>
                                      <w:sz w:val="18"/>
                                      <w:lang w:val="tr-TR"/>
                                    </w:rPr>
                                  </w:pPr>
                                  <w:r w:rsidRPr="00D7088C">
                                    <w:rPr>
                                      <w:noProof/>
                                      <w:sz w:val="18"/>
                                      <w:lang w:val="tr-TR"/>
                                    </w:rPr>
                                    <w:t>İmza</w:t>
                                  </w:r>
                                  <w:r>
                                    <w:rPr>
                                      <w:noProof/>
                                      <w:sz w:val="18"/>
                                      <w:lang w:val="tr-TR"/>
                                    </w:rPr>
                                    <w:t>/onay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35FFE" id="_x0000_t202" coordsize="21600,21600" o:spt="202" path="m,l,21600r21600,l21600,xe">
                      <v:stroke joinstyle="miter"/>
                      <v:path gradientshapeok="t" o:connecttype="rect"/>
                    </v:shapetype>
                    <v:shape id="Text Box 2" o:spid="_x0000_s1026" type="#_x0000_t202" style="position:absolute;left:0;text-align:left;margin-left:23.5pt;margin-top:21.15pt;width:96pt;height:3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" strokeweight="1.5pt">
                      <v:textbox>
                        <w:txbxContent>
                          <w:p w14:paraId="42890373" w14:textId="77777777" w:rsidR="0076011F" w:rsidRPr="00D7088C" w:rsidRDefault="0076011F" w:rsidP="0076011F">
                            <w:pPr>
                              <w:jc w:val="center"/>
                              <w:rPr>
                                <w:noProof/>
                                <w:sz w:val="18"/>
                                <w:lang w:val="tr-TR"/>
                              </w:rPr>
                            </w:pPr>
                            <w:r w:rsidRPr="00D7088C">
                              <w:rPr>
                                <w:noProof/>
                                <w:sz w:val="18"/>
                                <w:lang w:val="tr-TR"/>
                              </w:rPr>
                              <w:t>İmza</w:t>
                            </w:r>
                            <w:r>
                              <w:rPr>
                                <w:noProof/>
                                <w:sz w:val="18"/>
                                <w:lang w:val="tr-TR"/>
                              </w:rPr>
                              <w:t>/onay</w:t>
                            </w:r>
                          </w:p>
                        </w:txbxContent>
                      </v:textbox>
                      <w10:wrap type="square"/>
                    </v:shape>
                  </w:pict>
                </mc:Fallback>
              </mc:AlternateContent>
            </w:r>
            <w:r w:rsidRPr="00AE37EE">
              <w:rPr>
                <w:rFonts w:ascii="Arial Narrow" w:eastAsia="Arial Narrow" w:hAnsi="Arial Narrow" w:cs="Arial"/>
                <w:b/>
                <w:bCs/>
                <w:noProof/>
                <w:sz w:val="24"/>
                <w:szCs w:val="24"/>
                <w:lang w:val="tr-TR"/>
              </w:rPr>
              <w:t xml:space="preserve">İmza/OnayTarihi: </w:t>
            </w:r>
            <w:r w:rsidRPr="00AE37EE">
              <w:rPr>
                <w:rFonts w:ascii="Arial Narrow" w:hAnsi="Arial Narrow" w:cs="Arial"/>
                <w:noProof/>
                <w:sz w:val="24"/>
                <w:szCs w:val="24"/>
                <w:lang w:val="tr-TR"/>
              </w:rPr>
              <w:t xml:space="preserve">___/___/_____  </w:t>
            </w:r>
          </w:p>
        </w:tc>
        <w:tc>
          <w:tcPr>
            <w:tcW w:w="3049" w:type="dxa"/>
          </w:tcPr>
          <w:p w14:paraId="1D56390F"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r w:rsidRPr="00AE37EE">
              <w:rPr>
                <w:rFonts w:ascii="Arial Narrow" w:eastAsia="Arial Narrow" w:hAnsi="Arial Narrow" w:cs="Arial"/>
                <w:b/>
                <w:bCs/>
                <w:noProof/>
                <w:sz w:val="24"/>
                <w:szCs w:val="24"/>
                <w:lang w:val="tr-TR"/>
              </w:rPr>
              <w:t>Müşteri</w:t>
            </w:r>
          </w:p>
          <w:p w14:paraId="0FD7A59B"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r w:rsidRPr="00AE37EE">
              <w:rPr>
                <w:rFonts w:ascii="Arial Narrow" w:eastAsia="Arial Narrow" w:hAnsi="Arial Narrow" w:cs="Arial"/>
                <w:b/>
                <w:bCs/>
                <w:noProof/>
                <w:sz w:val="24"/>
                <w:szCs w:val="24"/>
                <w:lang w:val="tr-TR"/>
              </w:rPr>
              <w:t xml:space="preserve">Ad-Soyadı/Unvan: </w:t>
            </w:r>
            <w:r w:rsidRPr="00AE37EE">
              <w:rPr>
                <w:rFonts w:ascii="Arial Narrow" w:hAnsi="Arial Narrow" w:cs="Arial"/>
                <w:noProof/>
                <w:sz w:val="24"/>
                <w:szCs w:val="24"/>
                <w:lang w:val="tr-TR"/>
              </w:rPr>
              <w:t>______________</w:t>
            </w:r>
          </w:p>
          <w:p w14:paraId="5EF8E4C7"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p>
          <w:p w14:paraId="0D6D8C59"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r w:rsidRPr="00AE37EE">
              <w:rPr>
                <w:rFonts w:ascii="Arial Narrow" w:eastAsia="Arial Narrow" w:hAnsi="Arial Narrow" w:cs="Arial"/>
                <w:b/>
                <w:bCs/>
                <w:noProof/>
                <w:sz w:val="24"/>
                <w:szCs w:val="24"/>
                <w:lang w:val="tr-TR"/>
              </w:rPr>
              <w:t>İmza/Onay</w:t>
            </w:r>
            <w:r w:rsidRPr="00AE37EE">
              <w:rPr>
                <w:rFonts w:ascii="Arial Narrow" w:hAnsi="Arial Narrow" w:cs="Arial"/>
                <w:noProof/>
                <w:sz w:val="24"/>
                <w:szCs w:val="24"/>
                <w:lang w:val="tr-TR"/>
              </w:rPr>
              <w:t xml:space="preserve"> </w:t>
            </w:r>
            <w:r w:rsidRPr="00AE37EE">
              <w:rPr>
                <w:rFonts w:ascii="Arial Narrow" w:hAnsi="Arial Narrow" w:cs="Arial"/>
                <w:noProof/>
                <w:sz w:val="24"/>
                <w:szCs w:val="24"/>
                <w:lang w:val="tr-TR"/>
              </w:rPr>
              <mc:AlternateContent>
                <mc:Choice Requires="wps">
                  <w:drawing>
                    <wp:anchor distT="45720" distB="45720" distL="114300" distR="114300" simplePos="0" relativeHeight="251660288" behindDoc="0" locked="0" layoutInCell="1" allowOverlap="1" wp14:anchorId="0D213B73" wp14:editId="4EF2733B">
                      <wp:simplePos x="0" y="0"/>
                      <wp:positionH relativeFrom="column">
                        <wp:posOffset>351790</wp:posOffset>
                      </wp:positionH>
                      <wp:positionV relativeFrom="paragraph">
                        <wp:posOffset>260350</wp:posOffset>
                      </wp:positionV>
                      <wp:extent cx="1219200" cy="386080"/>
                      <wp:effectExtent l="0" t="0" r="1905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6080"/>
                              </a:xfrm>
                              <a:prstGeom prst="rect">
                                <a:avLst/>
                              </a:prstGeom>
                              <a:solidFill>
                                <a:srgbClr val="FFFFFF"/>
                              </a:solidFill>
                              <a:ln w="19050">
                                <a:solidFill>
                                  <a:srgbClr val="000000"/>
                                </a:solidFill>
                                <a:miter lim="800000"/>
                                <a:headEnd/>
                                <a:tailEnd/>
                              </a:ln>
                            </wps:spPr>
                            <wps:txbx>
                              <w:txbxContent>
                                <w:p w14:paraId="73085D50" w14:textId="77777777" w:rsidR="0076011F" w:rsidRPr="00D7088C" w:rsidRDefault="0076011F" w:rsidP="0076011F">
                                  <w:pPr>
                                    <w:jc w:val="center"/>
                                    <w:rPr>
                                      <w:noProof/>
                                      <w:sz w:val="18"/>
                                      <w:lang w:val="tr-TR"/>
                                    </w:rPr>
                                  </w:pPr>
                                  <w:r w:rsidRPr="00D7088C">
                                    <w:rPr>
                                      <w:noProof/>
                                      <w:sz w:val="18"/>
                                      <w:lang w:val="tr-TR"/>
                                    </w:rPr>
                                    <w:t>İmza</w:t>
                                  </w:r>
                                  <w:r>
                                    <w:rPr>
                                      <w:noProof/>
                                      <w:sz w:val="18"/>
                                      <w:lang w:val="tr-TR"/>
                                    </w:rPr>
                                    <w:t>/onay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13B73" id="_x0000_s1027" type="#_x0000_t202" style="position:absolute;left:0;text-align:left;margin-left:27.7pt;margin-top:20.5pt;width:96pt;height:3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" strokeweight="1.5pt">
                      <v:textbox>
                        <w:txbxContent>
                          <w:p w14:paraId="73085D50" w14:textId="77777777" w:rsidR="0076011F" w:rsidRPr="00D7088C" w:rsidRDefault="0076011F" w:rsidP="0076011F">
                            <w:pPr>
                              <w:jc w:val="center"/>
                              <w:rPr>
                                <w:noProof/>
                                <w:sz w:val="18"/>
                                <w:lang w:val="tr-TR"/>
                              </w:rPr>
                            </w:pPr>
                            <w:r w:rsidRPr="00D7088C">
                              <w:rPr>
                                <w:noProof/>
                                <w:sz w:val="18"/>
                                <w:lang w:val="tr-TR"/>
                              </w:rPr>
                              <w:t>İmza</w:t>
                            </w:r>
                            <w:r>
                              <w:rPr>
                                <w:noProof/>
                                <w:sz w:val="18"/>
                                <w:lang w:val="tr-TR"/>
                              </w:rPr>
                              <w:t>/onay</w:t>
                            </w:r>
                          </w:p>
                        </w:txbxContent>
                      </v:textbox>
                      <w10:wrap type="square"/>
                    </v:shape>
                  </w:pict>
                </mc:Fallback>
              </mc:AlternateContent>
            </w:r>
            <w:r w:rsidRPr="00AE37EE">
              <w:rPr>
                <w:rFonts w:ascii="Arial Narrow" w:eastAsia="Arial Narrow" w:hAnsi="Arial Narrow" w:cs="Arial"/>
                <w:b/>
                <w:bCs/>
                <w:noProof/>
                <w:sz w:val="24"/>
                <w:szCs w:val="24"/>
                <w:lang w:val="tr-TR"/>
              </w:rPr>
              <w:t xml:space="preserve">Tarihi: </w:t>
            </w:r>
            <w:r w:rsidRPr="00AE37EE">
              <w:rPr>
                <w:rFonts w:ascii="Arial Narrow" w:hAnsi="Arial Narrow" w:cs="Arial"/>
                <w:noProof/>
                <w:sz w:val="24"/>
                <w:szCs w:val="24"/>
                <w:lang w:val="tr-TR"/>
              </w:rPr>
              <w:t xml:space="preserve">___/___/_____  </w:t>
            </w:r>
          </w:p>
        </w:tc>
        <w:tc>
          <w:tcPr>
            <w:tcW w:w="3049" w:type="dxa"/>
          </w:tcPr>
          <w:p w14:paraId="22F0B99B"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r w:rsidRPr="00AE37EE">
              <w:rPr>
                <w:rFonts w:ascii="Arial Narrow" w:eastAsia="Arial Narrow" w:hAnsi="Arial Narrow" w:cs="Arial"/>
                <w:b/>
                <w:bCs/>
                <w:noProof/>
                <w:sz w:val="24"/>
                <w:szCs w:val="24"/>
                <w:lang w:val="tr-TR"/>
              </w:rPr>
              <w:t>Müşteri</w:t>
            </w:r>
          </w:p>
          <w:p w14:paraId="080D2662"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r w:rsidRPr="00AE37EE">
              <w:rPr>
                <w:rFonts w:ascii="Arial Narrow" w:eastAsia="Arial Narrow" w:hAnsi="Arial Narrow" w:cs="Arial"/>
                <w:b/>
                <w:bCs/>
                <w:noProof/>
                <w:sz w:val="24"/>
                <w:szCs w:val="24"/>
                <w:lang w:val="tr-TR"/>
              </w:rPr>
              <w:t xml:space="preserve">Ad-Soyadı/Unvan: </w:t>
            </w:r>
            <w:r w:rsidRPr="00AE37EE">
              <w:rPr>
                <w:rFonts w:ascii="Arial Narrow" w:hAnsi="Arial Narrow" w:cs="Arial"/>
                <w:noProof/>
                <w:sz w:val="24"/>
                <w:szCs w:val="24"/>
                <w:lang w:val="tr-TR"/>
              </w:rPr>
              <w:t>______________</w:t>
            </w:r>
          </w:p>
          <w:p w14:paraId="7B86447B"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p>
          <w:p w14:paraId="68FE1C71" w14:textId="77777777" w:rsidR="0076011F" w:rsidRPr="00AE37EE" w:rsidRDefault="0076011F" w:rsidP="00913424">
            <w:pPr>
              <w:spacing w:before="31"/>
              <w:ind w:right="-5"/>
              <w:jc w:val="both"/>
              <w:rPr>
                <w:rFonts w:ascii="Arial Narrow" w:eastAsia="Arial Narrow" w:hAnsi="Arial Narrow" w:cs="Arial"/>
                <w:b/>
                <w:bCs/>
                <w:noProof/>
                <w:sz w:val="24"/>
                <w:szCs w:val="24"/>
                <w:lang w:val="tr-TR"/>
              </w:rPr>
            </w:pPr>
            <w:r w:rsidRPr="00AE37EE">
              <w:rPr>
                <w:rFonts w:ascii="Arial Narrow" w:eastAsia="Arial Narrow" w:hAnsi="Arial Narrow" w:cs="Arial"/>
                <w:b/>
                <w:bCs/>
                <w:noProof/>
                <w:sz w:val="24"/>
                <w:szCs w:val="24"/>
                <w:lang w:val="tr-TR"/>
              </w:rPr>
              <w:t>İmza/Onay</w:t>
            </w:r>
            <w:r w:rsidRPr="00AE37EE">
              <w:rPr>
                <w:rFonts w:ascii="Arial Narrow" w:hAnsi="Arial Narrow" w:cs="Arial"/>
                <w:noProof/>
                <w:sz w:val="24"/>
                <w:szCs w:val="24"/>
                <w:lang w:val="tr-TR"/>
              </w:rPr>
              <w:t xml:space="preserve"> </w:t>
            </w:r>
            <w:r w:rsidRPr="00AE37EE">
              <w:rPr>
                <w:rFonts w:ascii="Arial Narrow" w:hAnsi="Arial Narrow" w:cs="Arial"/>
                <w:noProof/>
                <w:sz w:val="24"/>
                <w:szCs w:val="24"/>
                <w:lang w:val="tr-TR"/>
              </w:rPr>
              <mc:AlternateContent>
                <mc:Choice Requires="wps">
                  <w:drawing>
                    <wp:anchor distT="45720" distB="45720" distL="114300" distR="114300" simplePos="0" relativeHeight="251661312" behindDoc="0" locked="0" layoutInCell="1" allowOverlap="1" wp14:anchorId="463B9113" wp14:editId="76395C4B">
                      <wp:simplePos x="0" y="0"/>
                      <wp:positionH relativeFrom="column">
                        <wp:posOffset>292735</wp:posOffset>
                      </wp:positionH>
                      <wp:positionV relativeFrom="paragraph">
                        <wp:posOffset>260350</wp:posOffset>
                      </wp:positionV>
                      <wp:extent cx="1219200" cy="386080"/>
                      <wp:effectExtent l="0" t="0" r="19050" b="139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6080"/>
                              </a:xfrm>
                              <a:prstGeom prst="rect">
                                <a:avLst/>
                              </a:prstGeom>
                              <a:solidFill>
                                <a:srgbClr val="FFFFFF"/>
                              </a:solidFill>
                              <a:ln w="19050">
                                <a:solidFill>
                                  <a:srgbClr val="000000"/>
                                </a:solidFill>
                                <a:miter lim="800000"/>
                                <a:headEnd/>
                                <a:tailEnd/>
                              </a:ln>
                            </wps:spPr>
                            <wps:txbx>
                              <w:txbxContent>
                                <w:p w14:paraId="2621BA7D" w14:textId="77777777" w:rsidR="0076011F" w:rsidRPr="00D7088C" w:rsidRDefault="0076011F" w:rsidP="0076011F">
                                  <w:pPr>
                                    <w:jc w:val="center"/>
                                    <w:rPr>
                                      <w:noProof/>
                                      <w:sz w:val="18"/>
                                      <w:lang w:val="tr-TR"/>
                                    </w:rPr>
                                  </w:pPr>
                                  <w:r w:rsidRPr="00D7088C">
                                    <w:rPr>
                                      <w:noProof/>
                                      <w:sz w:val="18"/>
                                      <w:lang w:val="tr-TR"/>
                                    </w:rPr>
                                    <w:t>İmza</w:t>
                                  </w:r>
                                  <w:r>
                                    <w:rPr>
                                      <w:noProof/>
                                      <w:sz w:val="18"/>
                                      <w:lang w:val="tr-TR"/>
                                    </w:rPr>
                                    <w:t>/onay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B9113" id="_x0000_s1028" type="#_x0000_t202" style="position:absolute;left:0;text-align:left;margin-left:23.05pt;margin-top:20.5pt;width:96pt;height:3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" strokeweight="1.5pt">
                      <v:textbox>
                        <w:txbxContent>
                          <w:p w14:paraId="2621BA7D" w14:textId="77777777" w:rsidR="0076011F" w:rsidRPr="00D7088C" w:rsidRDefault="0076011F" w:rsidP="0076011F">
                            <w:pPr>
                              <w:jc w:val="center"/>
                              <w:rPr>
                                <w:noProof/>
                                <w:sz w:val="18"/>
                                <w:lang w:val="tr-TR"/>
                              </w:rPr>
                            </w:pPr>
                            <w:r w:rsidRPr="00D7088C">
                              <w:rPr>
                                <w:noProof/>
                                <w:sz w:val="18"/>
                                <w:lang w:val="tr-TR"/>
                              </w:rPr>
                              <w:t>İmza</w:t>
                            </w:r>
                            <w:r>
                              <w:rPr>
                                <w:noProof/>
                                <w:sz w:val="18"/>
                                <w:lang w:val="tr-TR"/>
                              </w:rPr>
                              <w:t>/onay</w:t>
                            </w:r>
                          </w:p>
                        </w:txbxContent>
                      </v:textbox>
                      <w10:wrap type="square"/>
                    </v:shape>
                  </w:pict>
                </mc:Fallback>
              </mc:AlternateContent>
            </w:r>
            <w:r w:rsidRPr="00AE37EE">
              <w:rPr>
                <w:rFonts w:ascii="Arial Narrow" w:eastAsia="Arial Narrow" w:hAnsi="Arial Narrow" w:cs="Arial"/>
                <w:b/>
                <w:bCs/>
                <w:noProof/>
                <w:sz w:val="24"/>
                <w:szCs w:val="24"/>
                <w:lang w:val="tr-TR"/>
              </w:rPr>
              <w:t xml:space="preserve">Tarihi: </w:t>
            </w:r>
            <w:r w:rsidRPr="00AE37EE">
              <w:rPr>
                <w:rFonts w:ascii="Arial Narrow" w:hAnsi="Arial Narrow" w:cs="Arial"/>
                <w:noProof/>
                <w:sz w:val="24"/>
                <w:szCs w:val="24"/>
                <w:lang w:val="tr-TR"/>
              </w:rPr>
              <w:t xml:space="preserve">___/___/_____ </w:t>
            </w:r>
          </w:p>
        </w:tc>
      </w:tr>
    </w:tbl>
    <w:p w14:paraId="3FD15293" w14:textId="77777777" w:rsidR="0076011F" w:rsidRPr="00AE37EE" w:rsidRDefault="0076011F" w:rsidP="0076011F">
      <w:pPr>
        <w:tabs>
          <w:tab w:val="left" w:pos="709"/>
        </w:tabs>
        <w:autoSpaceDE w:val="0"/>
        <w:autoSpaceDN w:val="0"/>
        <w:spacing w:before="120" w:line="252" w:lineRule="auto"/>
        <w:jc w:val="both"/>
        <w:rPr>
          <w:rFonts w:ascii="Arial Narrow" w:hAnsi="Arial Narrow"/>
          <w:noProof/>
          <w:sz w:val="24"/>
          <w:szCs w:val="24"/>
          <w:lang w:val="tr-TR"/>
        </w:rPr>
      </w:pPr>
    </w:p>
    <w:p w14:paraId="5C59961C" w14:textId="77777777" w:rsidR="008E40BB" w:rsidRPr="00AE37EE" w:rsidRDefault="008E40BB"/>
    <w:sectPr w:rsidR="008E40BB" w:rsidRPr="00AE37EE" w:rsidSect="00E15C49">
      <w:headerReference w:type="default" r:id="rId11"/>
      <w:footerReference w:type="default" r:id="rId12"/>
      <w:pgSz w:w="11906" w:h="16838"/>
      <w:pgMar w:top="426" w:right="1417" w:bottom="568" w:left="1417"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AB08B" w14:textId="77777777" w:rsidR="006A600D" w:rsidRDefault="006A600D" w:rsidP="0076011F">
      <w:r>
        <w:separator/>
      </w:r>
    </w:p>
  </w:endnote>
  <w:endnote w:type="continuationSeparator" w:id="0">
    <w:p w14:paraId="2AA9750A" w14:textId="77777777" w:rsidR="006A600D" w:rsidRDefault="006A600D" w:rsidP="0076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E50E" w14:textId="60F28E1D" w:rsidR="006871F7" w:rsidRDefault="00683714" w:rsidP="00D627EA">
    <w:pPr>
      <w:pStyle w:val="Footer"/>
      <w:spacing w:before="240"/>
      <w:rPr>
        <w:rFonts w:ascii="Arial Narrow" w:hAnsi="Arial Narrow"/>
        <w:noProof/>
        <w:sz w:val="18"/>
        <w:szCs w:val="18"/>
        <w:lang w:val="tr-TR"/>
      </w:rPr>
    </w:pPr>
    <w:r w:rsidRPr="00683714">
      <w:rPr>
        <w:rFonts w:ascii="Arial Narrow" w:hAnsi="Arial Narrow"/>
        <w:noProof/>
        <w:sz w:val="18"/>
        <w:szCs w:val="18"/>
        <w:lang w:val="tr-TR"/>
      </w:rPr>
      <w:t>E735   06/2022   Ver.1</w:t>
    </w:r>
  </w:p>
  <w:p w14:paraId="5442D6C2" w14:textId="7F3522D4" w:rsidR="00D627EA" w:rsidRPr="00683714" w:rsidRDefault="00D627EA" w:rsidP="00D627EA">
    <w:pPr>
      <w:pStyle w:val="Footer"/>
      <w:jc w:val="right"/>
      <w:rPr>
        <w:rFonts w:ascii="Arial Narrow" w:hAnsi="Arial Narrow"/>
        <w:noProof/>
        <w:sz w:val="18"/>
        <w:szCs w:val="18"/>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D7626" w14:textId="77777777" w:rsidR="006A600D" w:rsidRDefault="006A600D" w:rsidP="0076011F">
      <w:r>
        <w:separator/>
      </w:r>
    </w:p>
  </w:footnote>
  <w:footnote w:type="continuationSeparator" w:id="0">
    <w:p w14:paraId="4DFF871E" w14:textId="77777777" w:rsidR="006A600D" w:rsidRDefault="006A600D" w:rsidP="0076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B5CF" w14:textId="77777777" w:rsidR="00E15C49" w:rsidRPr="0090579A" w:rsidRDefault="00C86031" w:rsidP="00E15C49">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4EF5"/>
    <w:multiLevelType w:val="multilevel"/>
    <w:tmpl w:val="A048803C"/>
    <w:lvl w:ilvl="0">
      <w:start w:val="1"/>
      <w:numFmt w:val="decimal"/>
      <w:lvlText w:val="%1."/>
      <w:lvlJc w:val="left"/>
      <w:pPr>
        <w:ind w:left="720" w:hanging="360"/>
      </w:pPr>
      <w:rPr>
        <w:rFonts w:hint="default"/>
        <w:b/>
        <w:color w:val="002060"/>
        <w:sz w:val="24"/>
        <w:szCs w:val="24"/>
      </w:rPr>
    </w:lvl>
    <w:lvl w:ilvl="1">
      <w:start w:val="1"/>
      <w:numFmt w:val="decimal"/>
      <w:isLgl/>
      <w:lvlText w:val="%1.%2."/>
      <w:lvlJc w:val="left"/>
      <w:pPr>
        <w:ind w:left="927" w:hanging="360"/>
      </w:pPr>
      <w:rPr>
        <w:rFonts w:ascii="Arial Narrow" w:hAnsi="Arial Narrow" w:hint="default"/>
        <w:b/>
        <w:color w:val="1F3864" w:themeColor="accent5" w:themeShade="8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B763246"/>
    <w:multiLevelType w:val="multilevel"/>
    <w:tmpl w:val="E70A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90883"/>
    <w:multiLevelType w:val="hybridMultilevel"/>
    <w:tmpl w:val="D96EEDAE"/>
    <w:lvl w:ilvl="0" w:tplc="AE6CF970">
      <w:start w:val="1"/>
      <w:numFmt w:val="decimal"/>
      <w:lvlText w:val="%1."/>
      <w:lvlJc w:val="left"/>
      <w:pPr>
        <w:ind w:left="1062" w:hanging="360"/>
      </w:pPr>
      <w:rPr>
        <w:rFonts w:hint="default"/>
        <w:b/>
        <w:color w:val="002060"/>
      </w:rPr>
    </w:lvl>
    <w:lvl w:ilvl="1" w:tplc="041F0019">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3" w15:restartNumberingAfterBreak="0">
    <w:nsid w:val="670D25C8"/>
    <w:multiLevelType w:val="multilevel"/>
    <w:tmpl w:val="3F9C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1F"/>
    <w:rsid w:val="00045900"/>
    <w:rsid w:val="000876D2"/>
    <w:rsid w:val="000B3D4E"/>
    <w:rsid w:val="000C0CF5"/>
    <w:rsid w:val="000C5E50"/>
    <w:rsid w:val="001107EF"/>
    <w:rsid w:val="0017288E"/>
    <w:rsid w:val="001835B9"/>
    <w:rsid w:val="001E16A0"/>
    <w:rsid w:val="002457FC"/>
    <w:rsid w:val="00251F0E"/>
    <w:rsid w:val="0029628C"/>
    <w:rsid w:val="002B59D5"/>
    <w:rsid w:val="002B66BB"/>
    <w:rsid w:val="002B7836"/>
    <w:rsid w:val="002D5D33"/>
    <w:rsid w:val="00304540"/>
    <w:rsid w:val="00310C77"/>
    <w:rsid w:val="0032278F"/>
    <w:rsid w:val="0032624A"/>
    <w:rsid w:val="00352894"/>
    <w:rsid w:val="003B340D"/>
    <w:rsid w:val="003D738C"/>
    <w:rsid w:val="003F62B4"/>
    <w:rsid w:val="004418D3"/>
    <w:rsid w:val="004B5B4B"/>
    <w:rsid w:val="00517CD2"/>
    <w:rsid w:val="00523D4E"/>
    <w:rsid w:val="0053131A"/>
    <w:rsid w:val="00542621"/>
    <w:rsid w:val="00560A46"/>
    <w:rsid w:val="0058730B"/>
    <w:rsid w:val="005A5A9F"/>
    <w:rsid w:val="005A692F"/>
    <w:rsid w:val="0061288C"/>
    <w:rsid w:val="00632F51"/>
    <w:rsid w:val="00661491"/>
    <w:rsid w:val="0067438D"/>
    <w:rsid w:val="00683714"/>
    <w:rsid w:val="00684057"/>
    <w:rsid w:val="006A600D"/>
    <w:rsid w:val="006D3E5D"/>
    <w:rsid w:val="0076011F"/>
    <w:rsid w:val="007833D6"/>
    <w:rsid w:val="007A337E"/>
    <w:rsid w:val="007B3DA2"/>
    <w:rsid w:val="00821B61"/>
    <w:rsid w:val="00865478"/>
    <w:rsid w:val="008E40BB"/>
    <w:rsid w:val="008E468A"/>
    <w:rsid w:val="00910C00"/>
    <w:rsid w:val="00920ACE"/>
    <w:rsid w:val="00942C9C"/>
    <w:rsid w:val="00980658"/>
    <w:rsid w:val="009E1BF4"/>
    <w:rsid w:val="00A00537"/>
    <w:rsid w:val="00A65AC0"/>
    <w:rsid w:val="00A93A30"/>
    <w:rsid w:val="00AE0B4F"/>
    <w:rsid w:val="00AE37EE"/>
    <w:rsid w:val="00AF05FA"/>
    <w:rsid w:val="00B00DC5"/>
    <w:rsid w:val="00B42867"/>
    <w:rsid w:val="00C244BB"/>
    <w:rsid w:val="00C86031"/>
    <w:rsid w:val="00C90594"/>
    <w:rsid w:val="00CA1E8A"/>
    <w:rsid w:val="00D5232B"/>
    <w:rsid w:val="00D627EA"/>
    <w:rsid w:val="00D91C43"/>
    <w:rsid w:val="00E8523A"/>
    <w:rsid w:val="00F50514"/>
    <w:rsid w:val="00F817D6"/>
    <w:rsid w:val="00F918D7"/>
    <w:rsid w:val="00FB33E0"/>
    <w:rsid w:val="00FF7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FE4D"/>
  <w15:chartTrackingRefBased/>
  <w15:docId w15:val="{B0D4D04D-8496-4BF2-9682-AD53E0EE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11F"/>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011F"/>
    <w:pPr>
      <w:tabs>
        <w:tab w:val="center" w:pos="4536"/>
        <w:tab w:val="right" w:pos="9072"/>
      </w:tabs>
    </w:pPr>
  </w:style>
  <w:style w:type="character" w:customStyle="1" w:styleId="HeaderChar">
    <w:name w:val="Header Char"/>
    <w:basedOn w:val="DefaultParagraphFont"/>
    <w:link w:val="Header"/>
    <w:rsid w:val="0076011F"/>
    <w:rPr>
      <w:rFonts w:ascii="Times New Roman" w:eastAsia="Times New Roman" w:hAnsi="Times New Roman" w:cs="Times New Roman"/>
      <w:sz w:val="20"/>
      <w:szCs w:val="20"/>
      <w:lang w:val="en-AU"/>
    </w:rPr>
  </w:style>
  <w:style w:type="paragraph" w:styleId="Footer">
    <w:name w:val="footer"/>
    <w:basedOn w:val="Normal"/>
    <w:link w:val="FooterChar"/>
    <w:uiPriority w:val="99"/>
    <w:rsid w:val="0076011F"/>
    <w:pPr>
      <w:tabs>
        <w:tab w:val="center" w:pos="4536"/>
        <w:tab w:val="right" w:pos="9072"/>
      </w:tabs>
    </w:pPr>
  </w:style>
  <w:style w:type="character" w:customStyle="1" w:styleId="FooterChar">
    <w:name w:val="Footer Char"/>
    <w:basedOn w:val="DefaultParagraphFont"/>
    <w:link w:val="Footer"/>
    <w:uiPriority w:val="99"/>
    <w:rsid w:val="0076011F"/>
    <w:rPr>
      <w:rFonts w:ascii="Times New Roman" w:eastAsia="Times New Roman" w:hAnsi="Times New Roman" w:cs="Times New Roman"/>
      <w:sz w:val="20"/>
      <w:szCs w:val="20"/>
      <w:lang w:val="en-AU"/>
    </w:rPr>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Figure_name,lp1"/>
    <w:basedOn w:val="Normal"/>
    <w:link w:val="ListParagraphChar"/>
    <w:uiPriority w:val="34"/>
    <w:qFormat/>
    <w:rsid w:val="0076011F"/>
    <w:pPr>
      <w:ind w:left="720"/>
      <w:contextualSpacing/>
    </w:pPr>
  </w:style>
  <w:style w:type="character" w:styleId="CommentReference">
    <w:name w:val="annotation reference"/>
    <w:basedOn w:val="DefaultParagraphFont"/>
    <w:semiHidden/>
    <w:unhideWhenUsed/>
    <w:rsid w:val="0076011F"/>
    <w:rPr>
      <w:sz w:val="16"/>
      <w:szCs w:val="16"/>
    </w:rPr>
  </w:style>
  <w:style w:type="paragraph" w:styleId="CommentText">
    <w:name w:val="annotation text"/>
    <w:basedOn w:val="Normal"/>
    <w:link w:val="CommentTextChar"/>
    <w:unhideWhenUsed/>
    <w:rsid w:val="0076011F"/>
  </w:style>
  <w:style w:type="character" w:customStyle="1" w:styleId="CommentTextChar">
    <w:name w:val="Comment Text Char"/>
    <w:basedOn w:val="DefaultParagraphFont"/>
    <w:link w:val="CommentText"/>
    <w:rsid w:val="0076011F"/>
    <w:rPr>
      <w:rFonts w:ascii="Times New Roman" w:eastAsia="Times New Roman" w:hAnsi="Times New Roman" w:cs="Times New Roman"/>
      <w:sz w:val="20"/>
      <w:szCs w:val="20"/>
      <w:lang w:val="en-AU"/>
    </w:rPr>
  </w:style>
  <w:style w:type="table" w:styleId="TableGrid">
    <w:name w:val="Table Grid"/>
    <w:basedOn w:val="TableNormal"/>
    <w:uiPriority w:val="59"/>
    <w:rsid w:val="0076011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011F"/>
    <w:pPr>
      <w:spacing w:after="0" w:line="240" w:lineRule="auto"/>
    </w:pPr>
    <w:rPr>
      <w:rFonts w:ascii="Times New Roman" w:eastAsia="Times New Roman" w:hAnsi="Times New Roman" w:cs="Times New Roman"/>
      <w:sz w:val="20"/>
      <w:szCs w:val="20"/>
      <w:lang w:val="en-AU"/>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link w:val="ListParagraph"/>
    <w:uiPriority w:val="34"/>
    <w:rsid w:val="0076011F"/>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760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11F"/>
    <w:rPr>
      <w:rFonts w:ascii="Segoe UI" w:eastAsia="Times New Roman" w:hAnsi="Segoe UI" w:cs="Segoe UI"/>
      <w:sz w:val="18"/>
      <w:szCs w:val="18"/>
      <w:lang w:val="en-AU"/>
    </w:rPr>
  </w:style>
  <w:style w:type="character" w:styleId="Hyperlink">
    <w:name w:val="Hyperlink"/>
    <w:basedOn w:val="DefaultParagraphFont"/>
    <w:uiPriority w:val="99"/>
    <w:unhideWhenUsed/>
    <w:rsid w:val="0053131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D3E5D"/>
    <w:rPr>
      <w:b/>
      <w:bCs/>
    </w:rPr>
  </w:style>
  <w:style w:type="character" w:customStyle="1" w:styleId="CommentSubjectChar">
    <w:name w:val="Comment Subject Char"/>
    <w:basedOn w:val="CommentTextChar"/>
    <w:link w:val="CommentSubject"/>
    <w:uiPriority w:val="99"/>
    <w:semiHidden/>
    <w:rsid w:val="006D3E5D"/>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3805">
      <w:bodyDiv w:val="1"/>
      <w:marLeft w:val="0"/>
      <w:marRight w:val="0"/>
      <w:marTop w:val="0"/>
      <w:marBottom w:val="0"/>
      <w:divBdr>
        <w:top w:val="none" w:sz="0" w:space="0" w:color="auto"/>
        <w:left w:val="none" w:sz="0" w:space="0" w:color="auto"/>
        <w:bottom w:val="none" w:sz="0" w:space="0" w:color="auto"/>
        <w:right w:val="none" w:sz="0" w:space="0" w:color="auto"/>
      </w:divBdr>
    </w:div>
    <w:div w:id="18386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60e2342-a1cc-46c8-adf3-1a18e0faaa1b">VAX2HDH6N3KQ-399-2205</_dlc_DocId>
    <_dlc_DocIdUrl xmlns="160e2342-a1cc-46c8-adf3-1a18e0faaa1b">
      <Url>https://mybanknew.ebt.bank/_layouts/15/DocIdRedir.aspx?ID=VAX2HDH6N3KQ-399-2205</Url>
      <Description>VAX2HDH6N3KQ-399-2205</Description>
    </_dlc_DocIdUrl>
    <TaxCatchAll xmlns="160e2342-a1cc-46c8-adf3-1a18e0faaa1b">
      <Value>9</Value>
    </TaxCatchAll>
    <f219bb7a6efa4ab29e57271212474e8e xmlns="160e2342-a1cc-46c8-adf3-1a18e0faaa1b">
      <Terms xmlns="http://schemas.microsoft.com/office/infopath/2007/PartnerControls">
        <TermInfo xmlns="http://schemas.microsoft.com/office/infopath/2007/PartnerControls">
          <TermName xmlns="http://schemas.microsoft.com/office/infopath/2007/PartnerControls">Form Sozleşmeler</TermName>
          <TermId xmlns="http://schemas.microsoft.com/office/infopath/2007/PartnerControls">0fa4be74-a538-47fe-9b5a-500f9faf4177</TermId>
        </TermInfo>
      </Terms>
    </f219bb7a6efa4ab29e57271212474e8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88461399474B4DA151BF9A5AFDD810" ma:contentTypeVersion="17" ma:contentTypeDescription="Create a new document." ma:contentTypeScope="" ma:versionID="c22c0a799ce365d87ff18ba1ef60d89e">
  <xsd:schema xmlns:xsd="http://www.w3.org/2001/XMLSchema" xmlns:xs="http://www.w3.org/2001/XMLSchema" xmlns:p="http://schemas.microsoft.com/office/2006/metadata/properties" xmlns:ns2="160e2342-a1cc-46c8-adf3-1a18e0faaa1b" targetNamespace="http://schemas.microsoft.com/office/2006/metadata/properties" ma:root="true" ma:fieldsID="3162b4a53465828b31fc1e81802baf09" ns2:_="">
    <xsd:import namespace="160e2342-a1cc-46c8-adf3-1a18e0faaa1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f219bb7a6efa4ab29e57271212474e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e2342-a1cc-46c8-adf3-1a18e0faaa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8be001b-0c89-484b-bb08-0851c04c7f50}" ma:internalName="TaxCatchAll" ma:showField="CatchAllData" ma:web="160e2342-a1cc-46c8-adf3-1a18e0faaa1b">
      <xsd:complexType>
        <xsd:complexContent>
          <xsd:extension base="dms:MultiChoiceLookup">
            <xsd:sequence>
              <xsd:element name="Value" type="dms:Lookup" maxOccurs="unbounded" minOccurs="0" nillable="true"/>
            </xsd:sequence>
          </xsd:extension>
        </xsd:complexContent>
      </xsd:complexType>
    </xsd:element>
    <xsd:element name="f219bb7a6efa4ab29e57271212474e8e" ma:index="13" ma:taxonomy="true" ma:internalName="f219bb7a6efa4ab29e57271212474e8e" ma:taxonomyFieldName="Etiketlerimiz" ma:displayName="Etiketlerimiz" ma:default="" ma:fieldId="{f219bb7a-6efa-4ab2-9e57-271212474e8e}" ma:taxonomyMulti="true" ma:sspId="edc49f1e-dca7-4ac3-a826-ce2d2d0ded6d" ma:termSetId="71f2309f-896c-4d60-aa28-c7626814ca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0424D1-E672-4B43-BD62-40E751F27D5C}">
  <ds:schemaRefs>
    <ds:schemaRef ds:uri="http://schemas.microsoft.com/sharepoint/v3/contenttype/forms"/>
  </ds:schemaRefs>
</ds:datastoreItem>
</file>

<file path=customXml/itemProps2.xml><?xml version="1.0" encoding="utf-8"?>
<ds:datastoreItem xmlns:ds="http://schemas.openxmlformats.org/officeDocument/2006/customXml" ds:itemID="{0E86160B-01B8-4BF9-B2CF-4225EE163C3D}">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160e2342-a1cc-46c8-adf3-1a18e0faaa1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1BBAF37-40A4-402D-8264-50F77F2E5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e2342-a1cc-46c8-adf3-1a18e0faa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27EB5-87A1-499B-A319-6CAFC8F314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7179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E735 Yuvam Türk Lirası Vadeli Mevduat Hesabı Sözleşme Öncesi Risk Bilgilendirme Formu</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E735 Yuvam Türk Lirası Vadeli Mevduat Hesabı Sözleşme Öncesi Risk Bilgilendirme Formu</dc:title>
  <dc:subject/>
  <dc:creator>Cansın Alper</dc:creator>
  <cp:keywords>İçsel, Kişisel Veri İçermez</cp:keywords>
  <dc:description/>
  <cp:lastModifiedBy>Hülya Yücedağ</cp:lastModifiedBy>
  <cp:revision>2</cp:revision>
  <dcterms:created xsi:type="dcterms:W3CDTF">2022-07-22T11:23:00Z</dcterms:created>
  <dcterms:modified xsi:type="dcterms:W3CDTF">2022-07-22T11:23:00Z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32716d14-eead-4336-ae91-b71086d71750</vt:lpwstr>
  </property>
  <property fmtid="{D5CDD505-2E9C-101B-9397-08002B2CF9AE}" pid="3" name="Classification">
    <vt:lpwstr>G-a38d8d992b98</vt:lpwstr>
  </property>
  <property fmtid="{D5CDD505-2E9C-101B-9397-08002B2CF9AE}" pid="4" name="KVKK">
    <vt:lpwstr>N-20773efc0dbe</vt:lpwstr>
  </property>
  <property fmtid="{D5CDD505-2E9C-101B-9397-08002B2CF9AE}" pid="5" name="Labeling">
    <vt:lpwstr>S-9bce7ffc47b6</vt:lpwstr>
  </property>
  <property fmtid="{D5CDD505-2E9C-101B-9397-08002B2CF9AE}" pid="6" name="_dlc_DocIdItemGuid">
    <vt:lpwstr>82663f4e-9e60-4362-816b-b371daf263d5</vt:lpwstr>
  </property>
  <property fmtid="{D5CDD505-2E9C-101B-9397-08002B2CF9AE}" pid="7" name="ContentTypeId">
    <vt:lpwstr>0x0101000588461399474B4DA151BF9A5AFDD810</vt:lpwstr>
  </property>
  <property fmtid="{D5CDD505-2E9C-101B-9397-08002B2CF9AE}" pid="8" name="SubConfidential">
    <vt:lpwstr>SC-80b0dfa9d207</vt:lpwstr>
  </property>
  <property fmtid="{D5CDD505-2E9C-101B-9397-08002B2CF9AE}" pid="9" name="Etiketlerimiz">
    <vt:lpwstr>9;#Form Sozleşmeler|0fa4be74-a538-47fe-9b5a-500f9faf4177</vt:lpwstr>
  </property>
</Properties>
</file>